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12800" w:hRule="atLeast"/>
        </w:trPr>
        <w:tc>
          <w:tcPr>
            <w:tcW w:type="dxa" w:w="9000"/>
            <w:tcBorders>
              <w:top w:val="none" w:color="FFFFFF" w:sz="0"/>
              <w:left w:val="none" w:color="FFFFFF" w:sz="0"/>
              <w:bottom w:val="none" w:color="FFFFFF" w:sz="0"/>
              <w:right w:val="none" w:color="FFFFFF" w:sz="0"/>
            </w:tcBorders>
            <w:shd w:fill="1F3864" w:color="auto" w:val="clear"/>
            <w:tcMar>
              <w:top w:type="dxa" w:w="200"/>
              <w:left w:type="dxa" w:w="400"/>
              <w:bottom w:type="dxa" w:w="200"/>
              <w:right w:type="dxa" w:w="400"/>
            </w:tcMar>
            <w:vAlign w:val="center"/>
          </w:tcPr>
          <w:p>
            <w:pPr>
              <w:spacing w:after="100" w:before="1600"/>
              <w:jc w:val="center"/>
            </w:pPr>
            <w:r>
              <w:rPr>
                <w:b/>
                <w:bCs/>
                <w:color w:val="C9971C"/>
                <w:sz w:val="20"/>
                <w:szCs w:val="20"/>
              </w:rPr>
              <w:t xml:space="preserve">MSBSHSE  •  PUNE</w:t>
            </w:r>
          </w:p>
          <w:p>
            <w:pPr>
              <w:spacing w:before="300"/>
              <w:jc w:val="center"/>
            </w:pPr>
            <w:r>
              <w:rPr>
                <w:b/>
                <w:bCs/>
                <w:color w:val="FFFFFF"/>
                <w:sz w:val="60"/>
                <w:szCs w:val="60"/>
              </w:rPr>
              <w:t xml:space="preserve">MAHARASHTRA SSC</w:t>
            </w:r>
          </w:p>
          <w:p>
            <w:pPr>
              <w:spacing w:after="200"/>
              <w:jc w:val="center"/>
            </w:pPr>
            <w:r>
              <w:rPr>
                <w:b/>
                <w:bCs/>
                <w:color w:val="C9971C"/>
                <w:sz w:val="38"/>
                <w:szCs w:val="38"/>
              </w:rPr>
              <w:t xml:space="preserve">(STANDARD X) SYLLABUS GUIDE</w:t>
            </w:r>
          </w:p>
          <w:p>
            <w:pPr>
              <w:spacing w:after="100" w:before="300"/>
              <w:jc w:val="center"/>
            </w:pPr>
            <w:r>
              <w:rPr>
                <w:i/>
                <w:iCs/>
                <w:color w:val="D9E3F2"/>
                <w:sz w:val="22"/>
                <w:szCs w:val="22"/>
              </w:rPr>
              <w:t xml:space="preserve">A Complete, Colour-coded, Subject-wise Reference for Class 10 Students</w:t>
            </w:r>
          </w:p>
          <w:p>
            <w:pPr>
              <w:spacing w:before="700"/>
              <w:jc w:val="center"/>
            </w:pPr>
            <w:r>
              <w:rPr>
                <w:color w:val="D9E3F2"/>
                <w:sz w:val="20"/>
                <w:szCs w:val="20"/>
              </w:rPr>
              <w:t xml:space="preserve">English  •  Marathi  •  Hindi  •  Mathematics  •  Science &amp; Technology  •  Social Science</w:t>
            </w:r>
          </w:p>
          <w:p>
            <w:pPr>
              <w:spacing w:before="2200"/>
              <w:jc w:val="center"/>
            </w:pPr>
            <w:r>
              <w:rPr>
                <w:color w:val="AEC2E0"/>
                <w:sz w:val="20"/>
                <w:szCs w:val="20"/>
              </w:rPr>
              <w:t xml:space="preserve">Compiled for the 2025–26 Academic Year</w:t>
            </w:r>
          </w:p>
        </w:tc>
      </w:tr>
    </w:tbl>
    <w:p>
      <w:r>
        <w:br w:type="page"/>
      </w:r>
    </w:p>
    <w:p>
      <w:pPr>
        <w:pStyle w:val="Heading2"/>
        <w:pBdr>
          <w:bottom w:val="single" w:color="1F3864" w:sz="6" w:space="4"/>
        </w:pBdr>
        <w:spacing w:after="140" w:before="320"/>
      </w:pPr>
      <w:r>
        <w:rPr>
          <w:b/>
          <w:bCs/>
          <w:color w:val="1F3864"/>
          <w:sz w:val="26"/>
          <w:szCs w:val="26"/>
        </w:rPr>
        <w:t xml:space="preserve">Table of Contents</w:t>
      </w:r>
    </w:p>
    <w:p>
      <w:pPr>
        <w:spacing w:after="200"/>
      </w:pPr>
    </w:p>
    <w:p>
      <w:pPr>
        <w:tabs>
          <w:tab w:val="right" w:pos="9000" w:leader="dot"/>
        </w:tabs>
        <w:spacing w:after="140"/>
      </w:pPr>
      <w:r>
        <w:rPr>
          <w:b/>
          <w:bCs/>
          <w:color w:val="1B7A6E"/>
          <w:sz w:val="22"/>
          <w:szCs w:val="22"/>
        </w:rPr>
        <w:t xml:space="preserve">1.  Introduction</w:t>
      </w:r>
      <w:r>
        <w:ptab w:alignment="right" w:relativeTo="margin" w:leader="dot"/>
      </w:r>
      <w:r>
        <w:rPr>
          <w:b/>
          <w:bCs/>
          <w:color w:val="1B7A6E"/>
          <w:sz w:val="22"/>
          <w:szCs w:val="22"/>
        </w:rPr>
        <w:t xml:space="preserve">3</w:t>
      </w:r>
    </w:p>
    <w:p>
      <w:pPr>
        <w:tabs>
          <w:tab w:val="right" w:pos="9000" w:leader="dot"/>
        </w:tabs>
        <w:spacing w:after="140"/>
      </w:pPr>
      <w:r>
        <w:rPr>
          <w:b/>
          <w:bCs/>
          <w:color w:val="1F5FA8"/>
          <w:sz w:val="22"/>
          <w:szCs w:val="22"/>
        </w:rPr>
        <w:t xml:space="preserve">2.  Overview of the Maharashtra SSC Board and Examination</w:t>
      </w:r>
      <w:r>
        <w:ptab w:alignment="right" w:relativeTo="margin" w:leader="dot"/>
      </w:r>
      <w:r>
        <w:rPr>
          <w:b/>
          <w:bCs/>
          <w:color w:val="1F5FA8"/>
          <w:sz w:val="22"/>
          <w:szCs w:val="22"/>
        </w:rPr>
        <w:t xml:space="preserve">4</w:t>
      </w:r>
    </w:p>
    <w:p>
      <w:pPr>
        <w:tabs>
          <w:tab w:val="right" w:pos="9000" w:leader="dot"/>
        </w:tabs>
        <w:spacing w:after="60"/>
        <w:ind w:left="360"/>
      </w:pPr>
      <w:r>
        <w:rPr>
          <w:b w:val="false"/>
          <w:bCs w:val="false"/>
          <w:color w:val="444444"/>
          <w:sz w:val="20"/>
          <w:szCs w:val="20"/>
        </w:rPr>
        <w:t xml:space="preserve">2.1  About MSBSHSE</w:t>
      </w:r>
      <w:r>
        <w:ptab w:alignment="right" w:relativeTo="margin" w:leader="dot"/>
      </w:r>
      <w:r>
        <w:rPr>
          <w:b w:val="false"/>
          <w:bCs w:val="false"/>
          <w:color w:val="444444"/>
          <w:sz w:val="20"/>
          <w:szCs w:val="20"/>
        </w:rPr>
        <w:t xml:space="preserve"/>
      </w:r>
    </w:p>
    <w:p>
      <w:pPr>
        <w:tabs>
          <w:tab w:val="right" w:pos="9000" w:leader="dot"/>
        </w:tabs>
        <w:spacing w:after="60"/>
        <w:ind w:left="360"/>
      </w:pPr>
      <w:r>
        <w:rPr>
          <w:b w:val="false"/>
          <w:bCs w:val="false"/>
          <w:color w:val="444444"/>
          <w:sz w:val="20"/>
          <w:szCs w:val="20"/>
        </w:rPr>
        <w:t xml:space="preserve">2.2  Structure of the SSC Syllabus</w:t>
      </w:r>
      <w:r>
        <w:ptab w:alignment="right" w:relativeTo="margin" w:leader="dot"/>
      </w:r>
      <w:r>
        <w:rPr>
          <w:b w:val="false"/>
          <w:bCs w:val="false"/>
          <w:color w:val="444444"/>
          <w:sz w:val="20"/>
          <w:szCs w:val="20"/>
        </w:rPr>
        <w:t xml:space="preserve"/>
      </w:r>
    </w:p>
    <w:p>
      <w:pPr>
        <w:tabs>
          <w:tab w:val="right" w:pos="9000" w:leader="dot"/>
        </w:tabs>
        <w:spacing w:after="60"/>
        <w:ind w:left="360"/>
      </w:pPr>
      <w:r>
        <w:rPr>
          <w:b w:val="false"/>
          <w:bCs w:val="false"/>
          <w:color w:val="444444"/>
          <w:sz w:val="20"/>
          <w:szCs w:val="20"/>
        </w:rPr>
        <w:t xml:space="preserve">2.3  Examination Pattern</w:t>
      </w:r>
      <w:r>
        <w:ptab w:alignment="right" w:relativeTo="margin" w:leader="dot"/>
      </w:r>
      <w:r>
        <w:rPr>
          <w:b w:val="false"/>
          <w:bCs w:val="false"/>
          <w:color w:val="444444"/>
          <w:sz w:val="20"/>
          <w:szCs w:val="20"/>
        </w:rPr>
        <w:t xml:space="preserve"/>
      </w:r>
    </w:p>
    <w:p>
      <w:pPr>
        <w:tabs>
          <w:tab w:val="right" w:pos="9000" w:leader="dot"/>
        </w:tabs>
        <w:spacing w:after="60"/>
        <w:ind w:left="360"/>
      </w:pPr>
      <w:r>
        <w:rPr>
          <w:b w:val="false"/>
          <w:bCs w:val="false"/>
          <w:color w:val="444444"/>
          <w:sz w:val="20"/>
          <w:szCs w:val="20"/>
        </w:rPr>
        <w:t xml:space="preserve">2.4  Core Subjects at a Glance</w:t>
      </w:r>
      <w:r>
        <w:ptab w:alignment="right" w:relativeTo="margin" w:leader="dot"/>
      </w:r>
      <w:r>
        <w:rPr>
          <w:b w:val="false"/>
          <w:bCs w:val="false"/>
          <w:color w:val="444444"/>
          <w:sz w:val="20"/>
          <w:szCs w:val="20"/>
        </w:rPr>
        <w:t xml:space="preserve"/>
      </w:r>
    </w:p>
    <w:p>
      <w:pPr>
        <w:tabs>
          <w:tab w:val="right" w:pos="9000" w:leader="dot"/>
        </w:tabs>
        <w:spacing w:after="140"/>
      </w:pPr>
      <w:r>
        <w:rPr>
          <w:b/>
          <w:bCs/>
          <w:color w:val="8E3B8E"/>
          <w:sz w:val="22"/>
          <w:szCs w:val="22"/>
        </w:rPr>
        <w:t xml:space="preserve">3.  Subject-wise Syllabus</w:t>
      </w:r>
      <w:r>
        <w:ptab w:alignment="right" w:relativeTo="margin" w:leader="dot"/>
      </w:r>
      <w:r>
        <w:rPr>
          <w:b/>
          <w:bCs/>
          <w:color w:val="8E3B8E"/>
          <w:sz w:val="22"/>
          <w:szCs w:val="22"/>
        </w:rPr>
        <w:t xml:space="preserve">6</w:t>
      </w:r>
    </w:p>
    <w:p>
      <w:pPr>
        <w:tabs>
          <w:tab w:val="right" w:pos="9000" w:leader="dot"/>
        </w:tabs>
        <w:spacing w:after="60"/>
        <w:ind w:left="360"/>
      </w:pPr>
      <w:r>
        <w:rPr>
          <w:b w:val="false"/>
          <w:bCs w:val="false"/>
          <w:color w:val="444444"/>
          <w:sz w:val="20"/>
          <w:szCs w:val="20"/>
        </w:rPr>
        <w:t xml:space="preserve">3.1  English (Second / Third Language)</w:t>
      </w:r>
      <w:r>
        <w:ptab w:alignment="right" w:relativeTo="margin" w:leader="dot"/>
      </w:r>
      <w:r>
        <w:rPr>
          <w:b w:val="false"/>
          <w:bCs w:val="false"/>
          <w:color w:val="444444"/>
          <w:sz w:val="20"/>
          <w:szCs w:val="20"/>
        </w:rPr>
        <w:t xml:space="preserve">6</w:t>
      </w:r>
    </w:p>
    <w:p>
      <w:pPr>
        <w:tabs>
          <w:tab w:val="right" w:pos="9000" w:leader="dot"/>
        </w:tabs>
        <w:spacing w:after="60"/>
        <w:ind w:left="360"/>
      </w:pPr>
      <w:r>
        <w:rPr>
          <w:b w:val="false"/>
          <w:bCs w:val="false"/>
          <w:color w:val="444444"/>
          <w:sz w:val="20"/>
          <w:szCs w:val="20"/>
        </w:rPr>
        <w:t xml:space="preserve">3.2  Marathi / First Language</w:t>
      </w:r>
      <w:r>
        <w:ptab w:alignment="right" w:relativeTo="margin" w:leader="dot"/>
      </w:r>
      <w:r>
        <w:rPr>
          <w:b w:val="false"/>
          <w:bCs w:val="false"/>
          <w:color w:val="444444"/>
          <w:sz w:val="20"/>
          <w:szCs w:val="20"/>
        </w:rPr>
        <w:t xml:space="preserve">6</w:t>
      </w:r>
    </w:p>
    <w:p>
      <w:pPr>
        <w:tabs>
          <w:tab w:val="right" w:pos="9000" w:leader="dot"/>
        </w:tabs>
        <w:spacing w:after="60"/>
        <w:ind w:left="360"/>
      </w:pPr>
      <w:r>
        <w:rPr>
          <w:b w:val="false"/>
          <w:bCs w:val="false"/>
          <w:color w:val="444444"/>
          <w:sz w:val="20"/>
          <w:szCs w:val="20"/>
        </w:rPr>
        <w:t xml:space="preserve">3.3  Hindi (Second / Third Language)</w:t>
      </w:r>
      <w:r>
        <w:ptab w:alignment="right" w:relativeTo="margin" w:leader="dot"/>
      </w:r>
      <w:r>
        <w:rPr>
          <w:b w:val="false"/>
          <w:bCs w:val="false"/>
          <w:color w:val="444444"/>
          <w:sz w:val="20"/>
          <w:szCs w:val="20"/>
        </w:rPr>
        <w:t xml:space="preserve">7</w:t>
      </w:r>
    </w:p>
    <w:p>
      <w:pPr>
        <w:tabs>
          <w:tab w:val="right" w:pos="9000" w:leader="dot"/>
        </w:tabs>
        <w:spacing w:after="60"/>
        <w:ind w:left="360"/>
      </w:pPr>
      <w:r>
        <w:rPr>
          <w:b w:val="false"/>
          <w:bCs w:val="false"/>
          <w:color w:val="444444"/>
          <w:sz w:val="20"/>
          <w:szCs w:val="20"/>
        </w:rPr>
        <w:t xml:space="preserve">3.4  Mathematics</w:t>
      </w:r>
      <w:r>
        <w:ptab w:alignment="right" w:relativeTo="margin" w:leader="dot"/>
      </w:r>
      <w:r>
        <w:rPr>
          <w:b w:val="false"/>
          <w:bCs w:val="false"/>
          <w:color w:val="444444"/>
          <w:sz w:val="20"/>
          <w:szCs w:val="20"/>
        </w:rPr>
        <w:t xml:space="preserve">7</w:t>
      </w:r>
    </w:p>
    <w:p>
      <w:pPr>
        <w:tabs>
          <w:tab w:val="right" w:pos="9000" w:leader="dot"/>
        </w:tabs>
        <w:spacing w:after="60"/>
        <w:ind w:left="360"/>
      </w:pPr>
      <w:r>
        <w:rPr>
          <w:b w:val="false"/>
          <w:bCs w:val="false"/>
          <w:color w:val="444444"/>
          <w:sz w:val="20"/>
          <w:szCs w:val="20"/>
        </w:rPr>
        <w:t xml:space="preserve">3.5  Science and Technology</w:t>
      </w:r>
      <w:r>
        <w:ptab w:alignment="right" w:relativeTo="margin" w:leader="dot"/>
      </w:r>
      <w:r>
        <w:rPr>
          <w:b w:val="false"/>
          <w:bCs w:val="false"/>
          <w:color w:val="444444"/>
          <w:sz w:val="20"/>
          <w:szCs w:val="20"/>
        </w:rPr>
        <w:t xml:space="preserve">8</w:t>
      </w:r>
    </w:p>
    <w:p>
      <w:pPr>
        <w:tabs>
          <w:tab w:val="right" w:pos="9000" w:leader="dot"/>
        </w:tabs>
        <w:spacing w:after="60"/>
        <w:ind w:left="360"/>
      </w:pPr>
      <w:r>
        <w:rPr>
          <w:b w:val="false"/>
          <w:bCs w:val="false"/>
          <w:color w:val="444444"/>
          <w:sz w:val="20"/>
          <w:szCs w:val="20"/>
        </w:rPr>
        <w:t xml:space="preserve">3.6  Social Science</w:t>
      </w:r>
      <w:r>
        <w:ptab w:alignment="right" w:relativeTo="margin" w:leader="dot"/>
      </w:r>
      <w:r>
        <w:rPr>
          <w:b w:val="false"/>
          <w:bCs w:val="false"/>
          <w:color w:val="444444"/>
          <w:sz w:val="20"/>
          <w:szCs w:val="20"/>
        </w:rPr>
        <w:t xml:space="preserve">9</w:t>
      </w:r>
    </w:p>
    <w:p>
      <w:pPr>
        <w:tabs>
          <w:tab w:val="right" w:pos="9000" w:leader="dot"/>
        </w:tabs>
        <w:spacing w:after="140"/>
      </w:pPr>
      <w:r>
        <w:rPr>
          <w:b/>
          <w:bCs/>
          <w:color w:val="B8860B"/>
          <w:sz w:val="22"/>
          <w:szCs w:val="22"/>
        </w:rPr>
        <w:t xml:space="preserve">4.  Conclusion</w:t>
      </w:r>
      <w:r>
        <w:ptab w:alignment="right" w:relativeTo="margin" w:leader="dot"/>
      </w:r>
      <w:r>
        <w:rPr>
          <w:b/>
          <w:bCs/>
          <w:color w:val="B8860B"/>
          <w:sz w:val="22"/>
          <w:szCs w:val="22"/>
        </w:rPr>
        <w:t xml:space="preserve">10</w:t>
      </w:r>
    </w:p>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90" w:hRule="atLeast"/>
        </w:trPr>
        <w:tc>
          <w:tcPr>
            <w:tcW w:type="dxa" w:w="9000"/>
            <w:tcBorders>
              <w:top w:val="none" w:color="FFFFFF" w:sz="0"/>
              <w:left w:val="none" w:color="FFFFFF" w:sz="0"/>
              <w:bottom w:val="none" w:color="FFFFFF" w:sz="0"/>
              <w:right w:val="none" w:color="FFFFFF" w:sz="0"/>
            </w:tcBorders>
            <w:shd w:fill="1B7A6E" w:color="auto" w:val="clear"/>
          </w:tcPr>
          <w:p/>
        </w:tc>
      </w:tr>
    </w:tbl>
    <w:p>
      <w:pPr>
        <w:pStyle w:val="Heading1"/>
        <w:spacing w:after="200" w:before="160"/>
      </w:pPr>
      <w:r>
        <w:rPr>
          <w:b/>
          <w:bCs/>
          <w:color w:val="1B7A6E"/>
          <w:sz w:val="34"/>
          <w:szCs w:val="34"/>
        </w:rPr>
        <w:t xml:space="preserve">1.  Introduction</w:t>
      </w:r>
    </w:p>
    <w:p>
      <w:pPr>
        <w:spacing w:after="160" w:line="300"/>
      </w:pPr>
      <w:r>
        <w:rPr>
          <w:color w:val="262626"/>
          <w:sz w:val="22"/>
          <w:szCs w:val="22"/>
        </w:rPr>
        <w:t xml:space="preserve">The Secondary School Certificate (SSC) examination, popularly known as the “board exam,” marks the completion of secondary education in the state of Maharashtra. Conducted by the Maharashtra State Board of Secondary and Higher Secondary Education (MSBSHSE), headquartered in Pune, the SSC exam is taken by lakhs of Class 10 students across the state every year and is widely regarded as the first major public examination in a student's academic life.</w:t>
      </w:r>
    </w:p>
    <w:p>
      <w:pPr>
        <w:spacing w:after="160" w:line="300"/>
      </w:pPr>
      <w:r>
        <w:rPr>
          <w:color w:val="262626"/>
          <w:sz w:val="22"/>
          <w:szCs w:val="22"/>
        </w:rPr>
        <w:t xml:space="preserve">This ebook has been created as a companion guide for students, parents, and teachers who want a clear, organised picture of the Maharashtra SSC (Class 10) syllabus. Rather than simply listing chapter names, it walks through why the syllabus is structured the way it is, how each subject is assessed, and what topics students can expect to study over the course of the academic year.</w:t>
      </w:r>
    </w:p>
    <w:p>
      <w:pPr>
        <w:spacing w:after="160" w:line="300"/>
      </w:pPr>
      <w:r>
        <w:rPr>
          <w:color w:val="262626"/>
          <w:sz w:val="22"/>
          <w:szCs w:val="22"/>
        </w:rPr>
        <w:t xml:space="preserve">The Class 10 result is a genuine turning point. It determines eligibility and cut-offs for Class 11 admissions in the student's chosen stream — Science, Commerce, Arts, or vocational courses — and, for many students, is their first experience of a structured, high-stakes, syllabus-driven examination. A clear understanding of the syllabus is therefore the first and most practical step towards a confident, well-planned year of study.</w:t>
      </w:r>
    </w:p>
    <w:p>
      <w:pPr>
        <w:pStyle w:val="Heading3"/>
        <w:spacing w:after="100" w:before="200"/>
      </w:pPr>
      <w:r>
        <w:rPr>
          <w:b/>
          <w:bCs/>
          <w:color w:val="1B7A6E"/>
          <w:sz w:val="23"/>
          <w:szCs w:val="23"/>
        </w:rPr>
        <w:t xml:space="preserve">Who this guide is for</w:t>
      </w:r>
    </w:p>
    <w:p>
      <w:pPr>
        <w:pStyle w:val="ListParagraph"/>
        <w:numPr>
          <w:ilvl w:val="0"/>
          <w:numId w:val="2"/>
        </w:numPr>
        <w:spacing w:after="80" w:line="280"/>
      </w:pPr>
      <w:r>
        <w:rPr>
          <w:color w:val="262626"/>
          <w:sz w:val="22"/>
          <w:szCs w:val="22"/>
        </w:rPr>
        <w:t xml:space="preserve">Students preparing for the SSC (Class 10) board examination who want a single, organised reference to the full syllabus.</w:t>
      </w:r>
    </w:p>
    <w:p>
      <w:pPr>
        <w:pStyle w:val="ListParagraph"/>
        <w:numPr>
          <w:ilvl w:val="0"/>
          <w:numId w:val="2"/>
        </w:numPr>
        <w:spacing w:after="80" w:line="280"/>
      </w:pPr>
      <w:r>
        <w:rPr>
          <w:color w:val="262626"/>
          <w:sz w:val="22"/>
          <w:szCs w:val="22"/>
        </w:rPr>
        <w:t xml:space="preserve">Parents who wish to understand what their child is studying and how the subjects are assessed.</w:t>
      </w:r>
    </w:p>
    <w:p>
      <w:pPr>
        <w:pStyle w:val="ListParagraph"/>
        <w:numPr>
          <w:ilvl w:val="0"/>
          <w:numId w:val="2"/>
        </w:numPr>
        <w:spacing w:after="80" w:line="280"/>
      </w:pPr>
      <w:r>
        <w:rPr>
          <w:color w:val="262626"/>
          <w:sz w:val="22"/>
          <w:szCs w:val="22"/>
        </w:rPr>
        <w:t xml:space="preserve">Teachers and tutors looking for a concise subject-wise overview to plan lessons or revision schedules.</w:t>
      </w:r>
    </w:p>
    <w:p>
      <w:pPr>
        <w:pStyle w:val="Heading3"/>
        <w:spacing w:after="100" w:before="200"/>
      </w:pPr>
      <w:r>
        <w:rPr>
          <w:b/>
          <w:bCs/>
          <w:color w:val="1B7A6E"/>
          <w:sz w:val="23"/>
          <w:szCs w:val="23"/>
        </w:rPr>
        <w:t xml:space="preserve">How to use this ebook</w:t>
      </w:r>
    </w:p>
    <w:p>
      <w:pPr>
        <w:spacing w:after="160" w:line="300"/>
      </w:pPr>
      <w:r>
        <w:rPr>
          <w:color w:val="262626"/>
          <w:sz w:val="22"/>
          <w:szCs w:val="22"/>
        </w:rPr>
        <w:t xml:space="preserve">The guide is organised into four parts, each colour-coded for easy navigation. Section 2 gives an overview of the board, the examination pattern, and the subjects offered. Section 3 goes subject by subject through the syllabus in detail, including chapter lists and mark distribution — each subject has its own colour. Section 4 closes with practical takeaways and a brief conclusion.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1B7A6E" w:sz="24"/>
              <w:bottom w:val="none" w:color="FFFFFF" w:sz="0"/>
              <w:right w:val="none" w:color="FFFFFF" w:sz="0"/>
            </w:tcBorders>
            <w:shd w:fill="E1F3F0" w:color="auto" w:val="clear"/>
            <w:tcMar>
              <w:top w:type="dxa" w:w="140"/>
              <w:left w:type="dxa" w:w="200"/>
              <w:bottom w:type="dxa" w:w="140"/>
              <w:right w:type="dxa" w:w="200"/>
            </w:tcMar>
          </w:tcPr>
          <w:p>
            <w:r>
              <w:rPr>
                <w:i/>
                <w:iCs/>
                <w:color w:val="3A3A3A"/>
                <w:sz w:val="20"/>
                <w:szCs w:val="20"/>
              </w:rPr>
              <w:t xml:space="preserve">Tip: Since MSBSHSE periodically revises chapter names and sequencing, cross-check this guide against the current official textbooks (Balbharati) and the syllabus PDF published on the board's website.</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90" w:hRule="atLeast"/>
        </w:trPr>
        <w:tc>
          <w:tcPr>
            <w:tcW w:type="dxa" w:w="9000"/>
            <w:tcBorders>
              <w:top w:val="none" w:color="FFFFFF" w:sz="0"/>
              <w:left w:val="none" w:color="FFFFFF" w:sz="0"/>
              <w:bottom w:val="none" w:color="FFFFFF" w:sz="0"/>
              <w:right w:val="none" w:color="FFFFFF" w:sz="0"/>
            </w:tcBorders>
            <w:shd w:fill="1F5FA8" w:color="auto" w:val="clear"/>
          </w:tcPr>
          <w:p/>
        </w:tc>
      </w:tr>
    </w:tbl>
    <w:p>
      <w:pPr>
        <w:pStyle w:val="Heading1"/>
        <w:spacing w:after="200" w:before="160"/>
      </w:pPr>
      <w:r>
        <w:rPr>
          <w:b/>
          <w:bCs/>
          <w:color w:val="1F5FA8"/>
          <w:sz w:val="34"/>
          <w:szCs w:val="34"/>
        </w:rPr>
        <w:t xml:space="preserve">2.  Overview of the Maharashtra SSC Board and Examination</w:t>
      </w:r>
    </w:p>
    <w:p>
      <w:pPr>
        <w:pStyle w:val="Heading2"/>
        <w:pBdr>
          <w:bottom w:val="single" w:color="1F5FA8" w:sz="6" w:space="4"/>
        </w:pBdr>
        <w:spacing w:after="140" w:before="320"/>
      </w:pPr>
      <w:r>
        <w:rPr>
          <w:b/>
          <w:bCs/>
          <w:color w:val="1F5FA8"/>
          <w:sz w:val="26"/>
          <w:szCs w:val="26"/>
        </w:rPr>
        <w:t xml:space="preserve">2.1  About MSBSHSE</w:t>
      </w:r>
    </w:p>
    <w:p>
      <w:pPr>
        <w:spacing w:after="160" w:line="300"/>
      </w:pPr>
      <w:r>
        <w:rPr>
          <w:color w:val="262626"/>
          <w:sz w:val="22"/>
          <w:szCs w:val="22"/>
        </w:rPr>
        <w:t xml:space="preserve">The Maharashtra State Board of Secondary and Higher Secondary Education (MSBSHSE) is the state government body responsible for prescribing curricula, publishing textbooks (through Balbharati), and conducting the SSC (Class 10) and HSC (Class 12) board examinations across Maharashtra. The board operates through nine divisional boards — Pune, Mumbai, Aurangabad, Nashik, Kolhapur, Amravati, Latur, Nagpur, and Konkan — and offers instruction in multiple mediums, including Marathi, English, Urdu, Hindi, Gujarati, Kannada, Sindhi, Telugu, and Tamil.</w:t>
      </w:r>
    </w:p>
    <w:p>
      <w:pPr>
        <w:pStyle w:val="Heading2"/>
        <w:pBdr>
          <w:bottom w:val="single" w:color="1F5FA8" w:sz="6" w:space="4"/>
        </w:pBdr>
        <w:spacing w:after="140" w:before="320"/>
      </w:pPr>
      <w:r>
        <w:rPr>
          <w:b/>
          <w:bCs/>
          <w:color w:val="1F5FA8"/>
          <w:sz w:val="26"/>
          <w:szCs w:val="26"/>
        </w:rPr>
        <w:t xml:space="preserve">2.2  Structure of the SSC Syllabus</w:t>
      </w:r>
    </w:p>
    <w:p>
      <w:pPr>
        <w:spacing w:after="160" w:line="300"/>
      </w:pPr>
      <w:r>
        <w:rPr>
          <w:color w:val="262626"/>
          <w:sz w:val="22"/>
          <w:szCs w:val="22"/>
        </w:rPr>
        <w:t xml:space="preserve">The SSC curriculum lists a very large number of subjects (around 99 in total) to accommodate different mediums of instruction, vocational streams, and additional/optional languages. In practice, however, a typical Class 10 student appears for six examination papers built around five core subject areas: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200"/>
        <w:gridCol w:w="2600"/>
        <w:gridCol w:w="2200"/>
      </w:tblGrid>
      <w:tr>
        <w:trPr>
          <w:tblHeader/>
        </w:trPr>
        <w:tc>
          <w:tcPr>
            <w:tcW w:type="dxa" w:w="4200"/>
            <w:shd w:fill="1F5FA8" w:color="auto" w:val="clear"/>
            <w:tcMar>
              <w:top w:type="dxa" w:w="100"/>
              <w:left w:type="dxa" w:w="120"/>
              <w:bottom w:type="dxa" w:w="100"/>
              <w:right w:type="dxa" w:w="120"/>
            </w:tcMar>
            <w:vAlign w:val="center"/>
          </w:tcPr>
          <w:p>
            <w:r>
              <w:rPr>
                <w:b/>
                <w:bCs/>
                <w:color w:val="FFFFFF"/>
                <w:sz w:val="20"/>
                <w:szCs w:val="20"/>
              </w:rPr>
              <w:t xml:space="preserve">Subject Area</w:t>
            </w:r>
          </w:p>
        </w:tc>
        <w:tc>
          <w:tcPr>
            <w:tcW w:type="dxa" w:w="2600"/>
            <w:shd w:fill="1F5FA8" w:color="auto" w:val="clear"/>
            <w:tcMar>
              <w:top w:type="dxa" w:w="100"/>
              <w:left w:type="dxa" w:w="120"/>
              <w:bottom w:type="dxa" w:w="100"/>
              <w:right w:type="dxa" w:w="120"/>
            </w:tcMar>
            <w:vAlign w:val="center"/>
          </w:tcPr>
          <w:p>
            <w:r>
              <w:rPr>
                <w:b/>
                <w:bCs/>
                <w:color w:val="FFFFFF"/>
                <w:sz w:val="20"/>
                <w:szCs w:val="20"/>
              </w:rPr>
              <w:t xml:space="preserve">Papers</w:t>
            </w:r>
          </w:p>
        </w:tc>
        <w:tc>
          <w:tcPr>
            <w:tcW w:type="dxa" w:w="2200"/>
            <w:shd w:fill="1F5FA8" w:color="auto" w:val="clear"/>
            <w:tcMar>
              <w:top w:type="dxa" w:w="100"/>
              <w:left w:type="dxa" w:w="120"/>
              <w:bottom w:type="dxa" w:w="100"/>
              <w:right w:type="dxa" w:w="120"/>
            </w:tcMar>
            <w:vAlign w:val="center"/>
          </w:tcPr>
          <w:p>
            <w:r>
              <w:rPr>
                <w:b/>
                <w:bCs/>
                <w:color w:val="FFFFFF"/>
                <w:sz w:val="20"/>
                <w:szCs w:val="20"/>
              </w:rPr>
              <w:t xml:space="preserve">Typical Marks</w:t>
            </w:r>
          </w:p>
        </w:tc>
      </w:tr>
      <w:tr>
        <w:tc>
          <w:tcPr>
            <w:tcW w:type="dxa" w:w="4200"/>
            <w:shd w:fill="FFFFFF" w:color="auto" w:val="clear"/>
            <w:tcMar>
              <w:top w:type="dxa" w:w="90"/>
              <w:left w:type="dxa" w:w="120"/>
              <w:bottom w:type="dxa" w:w="90"/>
              <w:right w:type="dxa" w:w="120"/>
            </w:tcMar>
          </w:tcPr>
          <w:p>
            <w:r>
              <w:rPr>
                <w:sz w:val="20"/>
                <w:szCs w:val="20"/>
              </w:rPr>
              <w:t xml:space="preserve">First Language (Marathi / Hindi / Urdu / etc.)</w:t>
            </w:r>
          </w:p>
        </w:tc>
        <w:tc>
          <w:tcPr>
            <w:tcW w:type="dxa" w:w="2600"/>
            <w:shd w:fill="FFFFFF" w:color="auto" w:val="clear"/>
            <w:tcMar>
              <w:top w:type="dxa" w:w="90"/>
              <w:left w:type="dxa" w:w="120"/>
              <w:bottom w:type="dxa" w:w="90"/>
              <w:right w:type="dxa" w:w="120"/>
            </w:tcMar>
          </w:tcPr>
          <w:p>
            <w:r>
              <w:rPr>
                <w:sz w:val="20"/>
                <w:szCs w:val="20"/>
              </w:rPr>
              <w:t xml:space="preserve">1 paper</w:t>
            </w:r>
          </w:p>
        </w:tc>
        <w:tc>
          <w:tcPr>
            <w:tcW w:type="dxa" w:w="2200"/>
            <w:shd w:fill="FFFFFF" w:color="auto" w:val="clear"/>
            <w:tcMar>
              <w:top w:type="dxa" w:w="90"/>
              <w:left w:type="dxa" w:w="120"/>
              <w:bottom w:type="dxa" w:w="90"/>
              <w:right w:type="dxa" w:w="120"/>
            </w:tcMar>
          </w:tcPr>
          <w:p>
            <w:r>
              <w:rPr>
                <w:sz w:val="20"/>
                <w:szCs w:val="20"/>
              </w:rPr>
              <w:t xml:space="preserve">100</w:t>
            </w:r>
          </w:p>
        </w:tc>
      </w:tr>
      <w:tr>
        <w:tc>
          <w:tcPr>
            <w:tcW w:type="dxa" w:w="4200"/>
            <w:shd w:fill="E4EEFB" w:color="auto" w:val="clear"/>
            <w:tcMar>
              <w:top w:type="dxa" w:w="90"/>
              <w:left w:type="dxa" w:w="120"/>
              <w:bottom w:type="dxa" w:w="90"/>
              <w:right w:type="dxa" w:w="120"/>
            </w:tcMar>
          </w:tcPr>
          <w:p>
            <w:r>
              <w:rPr>
                <w:sz w:val="20"/>
                <w:szCs w:val="20"/>
              </w:rPr>
              <w:t xml:space="preserve">English (Second/Third Language)</w:t>
            </w:r>
          </w:p>
        </w:tc>
        <w:tc>
          <w:tcPr>
            <w:tcW w:type="dxa" w:w="2600"/>
            <w:shd w:fill="E4EEFB" w:color="auto" w:val="clear"/>
            <w:tcMar>
              <w:top w:type="dxa" w:w="90"/>
              <w:left w:type="dxa" w:w="120"/>
              <w:bottom w:type="dxa" w:w="90"/>
              <w:right w:type="dxa" w:w="120"/>
            </w:tcMar>
          </w:tcPr>
          <w:p>
            <w:r>
              <w:rPr>
                <w:sz w:val="20"/>
                <w:szCs w:val="20"/>
              </w:rPr>
              <w:t xml:space="preserve">1 paper</w:t>
            </w:r>
          </w:p>
        </w:tc>
        <w:tc>
          <w:tcPr>
            <w:tcW w:type="dxa" w:w="2200"/>
            <w:shd w:fill="E4EEFB" w:color="auto" w:val="clear"/>
            <w:tcMar>
              <w:top w:type="dxa" w:w="90"/>
              <w:left w:type="dxa" w:w="120"/>
              <w:bottom w:type="dxa" w:w="90"/>
              <w:right w:type="dxa" w:w="120"/>
            </w:tcMar>
          </w:tcPr>
          <w:p>
            <w:r>
              <w:rPr>
                <w:sz w:val="20"/>
                <w:szCs w:val="20"/>
              </w:rPr>
              <w:t xml:space="preserve">100</w:t>
            </w:r>
          </w:p>
        </w:tc>
      </w:tr>
      <w:tr>
        <w:tc>
          <w:tcPr>
            <w:tcW w:type="dxa" w:w="4200"/>
            <w:shd w:fill="FFFFFF" w:color="auto" w:val="clear"/>
            <w:tcMar>
              <w:top w:type="dxa" w:w="90"/>
              <w:left w:type="dxa" w:w="120"/>
              <w:bottom w:type="dxa" w:w="90"/>
              <w:right w:type="dxa" w:w="120"/>
            </w:tcMar>
          </w:tcPr>
          <w:p>
            <w:r>
              <w:rPr>
                <w:sz w:val="20"/>
                <w:szCs w:val="20"/>
              </w:rPr>
              <w:t xml:space="preserve">Mathematics</w:t>
            </w:r>
          </w:p>
        </w:tc>
        <w:tc>
          <w:tcPr>
            <w:tcW w:type="dxa" w:w="2600"/>
            <w:shd w:fill="FFFFFF" w:color="auto" w:val="clear"/>
            <w:tcMar>
              <w:top w:type="dxa" w:w="90"/>
              <w:left w:type="dxa" w:w="120"/>
              <w:bottom w:type="dxa" w:w="90"/>
              <w:right w:type="dxa" w:w="120"/>
            </w:tcMar>
          </w:tcPr>
          <w:p>
            <w:r>
              <w:rPr>
                <w:sz w:val="20"/>
                <w:szCs w:val="20"/>
              </w:rPr>
              <w:t xml:space="preserve">Paper I – Algebra, Paper II – Geometry</w:t>
            </w:r>
          </w:p>
        </w:tc>
        <w:tc>
          <w:tcPr>
            <w:tcW w:type="dxa" w:w="2200"/>
            <w:shd w:fill="FFFFFF" w:color="auto" w:val="clear"/>
            <w:tcMar>
              <w:top w:type="dxa" w:w="90"/>
              <w:left w:type="dxa" w:w="120"/>
              <w:bottom w:type="dxa" w:w="90"/>
              <w:right w:type="dxa" w:w="120"/>
            </w:tcMar>
          </w:tcPr>
          <w:p>
            <w:r>
              <w:rPr>
                <w:sz w:val="20"/>
                <w:szCs w:val="20"/>
              </w:rPr>
              <w:t xml:space="preserve">100 (40+40 theory + 20 internal)</w:t>
            </w:r>
          </w:p>
        </w:tc>
      </w:tr>
      <w:tr>
        <w:tc>
          <w:tcPr>
            <w:tcW w:type="dxa" w:w="4200"/>
            <w:shd w:fill="E4EEFB" w:color="auto" w:val="clear"/>
            <w:tcMar>
              <w:top w:type="dxa" w:w="90"/>
              <w:left w:type="dxa" w:w="120"/>
              <w:bottom w:type="dxa" w:w="90"/>
              <w:right w:type="dxa" w:w="120"/>
            </w:tcMar>
          </w:tcPr>
          <w:p>
            <w:r>
              <w:rPr>
                <w:sz w:val="20"/>
                <w:szCs w:val="20"/>
              </w:rPr>
              <w:t xml:space="preserve">Science and Technology</w:t>
            </w:r>
          </w:p>
        </w:tc>
        <w:tc>
          <w:tcPr>
            <w:tcW w:type="dxa" w:w="2600"/>
            <w:shd w:fill="E4EEFB" w:color="auto" w:val="clear"/>
            <w:tcMar>
              <w:top w:type="dxa" w:w="90"/>
              <w:left w:type="dxa" w:w="120"/>
              <w:bottom w:type="dxa" w:w="90"/>
              <w:right w:type="dxa" w:w="120"/>
            </w:tcMar>
          </w:tcPr>
          <w:p>
            <w:r>
              <w:rPr>
                <w:sz w:val="20"/>
                <w:szCs w:val="20"/>
              </w:rPr>
              <w:t xml:space="preserve">Paper I, Paper II</w:t>
            </w:r>
          </w:p>
        </w:tc>
        <w:tc>
          <w:tcPr>
            <w:tcW w:type="dxa" w:w="2200"/>
            <w:shd w:fill="E4EEFB" w:color="auto" w:val="clear"/>
            <w:tcMar>
              <w:top w:type="dxa" w:w="90"/>
              <w:left w:type="dxa" w:w="120"/>
              <w:bottom w:type="dxa" w:w="90"/>
              <w:right w:type="dxa" w:w="120"/>
            </w:tcMar>
          </w:tcPr>
          <w:p>
            <w:r>
              <w:rPr>
                <w:sz w:val="20"/>
                <w:szCs w:val="20"/>
              </w:rPr>
              <w:t xml:space="preserve">100 (40+40 theory + 20 internal)</w:t>
            </w:r>
          </w:p>
        </w:tc>
      </w:tr>
      <w:tr>
        <w:tc>
          <w:tcPr>
            <w:tcW w:type="dxa" w:w="4200"/>
            <w:shd w:fill="FFFFFF" w:color="auto" w:val="clear"/>
            <w:tcMar>
              <w:top w:type="dxa" w:w="90"/>
              <w:left w:type="dxa" w:w="120"/>
              <w:bottom w:type="dxa" w:w="90"/>
              <w:right w:type="dxa" w:w="120"/>
            </w:tcMar>
          </w:tcPr>
          <w:p>
            <w:r>
              <w:rPr>
                <w:sz w:val="20"/>
                <w:szCs w:val="20"/>
              </w:rPr>
              <w:t xml:space="preserve">Social Science</w:t>
            </w:r>
          </w:p>
        </w:tc>
        <w:tc>
          <w:tcPr>
            <w:tcW w:type="dxa" w:w="2600"/>
            <w:shd w:fill="FFFFFF" w:color="auto" w:val="clear"/>
            <w:tcMar>
              <w:top w:type="dxa" w:w="90"/>
              <w:left w:type="dxa" w:w="120"/>
              <w:bottom w:type="dxa" w:w="90"/>
              <w:right w:type="dxa" w:w="120"/>
            </w:tcMar>
          </w:tcPr>
          <w:p>
            <w:r>
              <w:rPr>
                <w:sz w:val="20"/>
                <w:szCs w:val="20"/>
              </w:rPr>
              <w:t xml:space="preserve">History &amp; Political Science, Geography</w:t>
            </w:r>
          </w:p>
        </w:tc>
        <w:tc>
          <w:tcPr>
            <w:tcW w:type="dxa" w:w="2200"/>
            <w:shd w:fill="FFFFFF" w:color="auto" w:val="clear"/>
            <w:tcMar>
              <w:top w:type="dxa" w:w="90"/>
              <w:left w:type="dxa" w:w="120"/>
              <w:bottom w:type="dxa" w:w="90"/>
              <w:right w:type="dxa" w:w="120"/>
            </w:tcMar>
          </w:tcPr>
          <w:p>
            <w:r>
              <w:rPr>
                <w:sz w:val="20"/>
                <w:szCs w:val="20"/>
              </w:rPr>
              <w:t xml:space="preserve">100 (40+40 theory)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1F5FA8" w:sz="24"/>
              <w:bottom w:val="none" w:color="FFFFFF" w:sz="0"/>
              <w:right w:val="none" w:color="FFFFFF" w:sz="0"/>
            </w:tcBorders>
            <w:shd w:fill="E4EEFB" w:color="auto" w:val="clear"/>
            <w:tcMar>
              <w:top w:type="dxa" w:w="140"/>
              <w:left w:type="dxa" w:w="200"/>
              <w:bottom w:type="dxa" w:w="140"/>
              <w:right w:type="dxa" w:w="200"/>
            </w:tcMar>
          </w:tcPr>
          <w:p>
            <w:r>
              <w:rPr>
                <w:i/>
                <w:iCs/>
                <w:color w:val="3A3A3A"/>
                <w:sz w:val="20"/>
                <w:szCs w:val="20"/>
              </w:rPr>
              <w:t xml:space="preserve">Note: Exact internal-assessment/practical weightage can vary slightly by subject and by year; students should confirm current weightage from the official MSBSHSE circular for their examination year.</w:t>
            </w:r>
          </w:p>
        </w:tc>
      </w:tr>
    </w:tbl>
    <w:p>
      <w:pPr>
        <w:pStyle w:val="Heading2"/>
        <w:pBdr>
          <w:bottom w:val="single" w:color="1F5FA8" w:sz="6" w:space="4"/>
        </w:pBdr>
        <w:spacing w:after="140" w:before="320"/>
      </w:pPr>
      <w:r>
        <w:rPr>
          <w:b/>
          <w:bCs/>
          <w:color w:val="1F5FA8"/>
          <w:sz w:val="26"/>
          <w:szCs w:val="26"/>
        </w:rPr>
        <w:t xml:space="preserve">2.3  Examination Pattern</w:t>
      </w:r>
    </w:p>
    <w:p>
      <w:pPr>
        <w:pStyle w:val="ListParagraph"/>
        <w:numPr>
          <w:ilvl w:val="0"/>
          <w:numId w:val="3"/>
        </w:numPr>
        <w:spacing w:after="80" w:line="280"/>
      </w:pPr>
      <w:r>
        <w:rPr>
          <w:color w:val="262626"/>
          <w:sz w:val="22"/>
          <w:szCs w:val="22"/>
        </w:rPr>
        <w:t xml:space="preserve">Each subject paper is generally worth 100 marks, split between a written theory paper and internal assessment/practical/oral marks (the exact split differs by subject, as shown above).</w:t>
      </w:r>
    </w:p>
    <w:p>
      <w:pPr>
        <w:pStyle w:val="ListParagraph"/>
        <w:numPr>
          <w:ilvl w:val="0"/>
          <w:numId w:val="3"/>
        </w:numPr>
        <w:spacing w:after="80" w:line="280"/>
      </w:pPr>
      <w:r>
        <w:rPr>
          <w:color w:val="262626"/>
          <w:sz w:val="22"/>
          <w:szCs w:val="22"/>
        </w:rPr>
        <w:t xml:space="preserve">Question papers typically include a mix of multiple-choice questions, one-word/one-sentence answers, short-answer questions, and long-answer or descriptive questions.</w:t>
      </w:r>
    </w:p>
    <w:p>
      <w:pPr>
        <w:pStyle w:val="ListParagraph"/>
        <w:numPr>
          <w:ilvl w:val="0"/>
          <w:numId w:val="3"/>
        </w:numPr>
        <w:spacing w:after="80" w:line="280"/>
      </w:pPr>
      <w:r>
        <w:rPr>
          <w:color w:val="262626"/>
          <w:sz w:val="22"/>
          <w:szCs w:val="22"/>
        </w:rPr>
        <w:t xml:space="preserve">Mathematics and Science papers are each split into two parts (Algebra/Geometry and Science Part I/Part II respectively), each carrying its own pass requirement.</w:t>
      </w:r>
    </w:p>
    <w:p>
      <w:pPr>
        <w:pStyle w:val="ListParagraph"/>
        <w:numPr>
          <w:ilvl w:val="0"/>
          <w:numId w:val="3"/>
        </w:numPr>
        <w:spacing w:after="80" w:line="280"/>
      </w:pPr>
      <w:r>
        <w:rPr>
          <w:color w:val="262626"/>
          <w:sz w:val="22"/>
          <w:szCs w:val="22"/>
        </w:rPr>
        <w:t xml:space="preserve">The minimum passing mark is 35% in each subject overall, with a minimum requirement in the theory component as well (commonly cited as 28/80 marks for the theory portion in subjects with a practical/internal component).</w:t>
      </w:r>
    </w:p>
    <w:p>
      <w:pPr>
        <w:pStyle w:val="ListParagraph"/>
        <w:numPr>
          <w:ilvl w:val="0"/>
          <w:numId w:val="3"/>
        </w:numPr>
        <w:spacing w:after="80" w:line="280"/>
      </w:pPr>
      <w:r>
        <w:rPr>
          <w:color w:val="262626"/>
          <w:sz w:val="22"/>
          <w:szCs w:val="22"/>
        </w:rPr>
        <w:t xml:space="preserve">Under the “best of five” rule used for computing percentage and merit in some contexts, a student's best-performing subjects can be considered — students should verify current applicability with their school.</w:t>
      </w:r>
    </w:p>
    <w:p>
      <w:pPr>
        <w:pStyle w:val="ListParagraph"/>
        <w:numPr>
          <w:ilvl w:val="0"/>
          <w:numId w:val="3"/>
        </w:numPr>
        <w:spacing w:after="80" w:line="280"/>
      </w:pPr>
      <w:r>
        <w:rPr>
          <w:color w:val="262626"/>
          <w:sz w:val="22"/>
          <w:szCs w:val="22"/>
        </w:rPr>
        <w:t xml:space="preserve">Board exams are usually held between mid-February and mid-March, with results typically declared in the following two to three months.</w:t>
      </w:r>
    </w:p>
    <w:p>
      <w:pPr>
        <w:pStyle w:val="Heading2"/>
        <w:pBdr>
          <w:bottom w:val="single" w:color="1F5FA8" w:sz="6" w:space="4"/>
        </w:pBdr>
        <w:spacing w:after="140" w:before="320"/>
      </w:pPr>
      <w:r>
        <w:rPr>
          <w:b/>
          <w:bCs/>
          <w:color w:val="1F5FA8"/>
          <w:sz w:val="26"/>
          <w:szCs w:val="26"/>
        </w:rPr>
        <w:t xml:space="preserve">2.4  Core Subjects at a Glance</w:t>
      </w:r>
    </w:p>
    <w:p>
      <w:pPr>
        <w:spacing w:after="160" w:line="300"/>
      </w:pPr>
      <w:r>
        <w:rPr>
          <w:color w:val="262626"/>
          <w:sz w:val="22"/>
          <w:szCs w:val="22"/>
        </w:rPr>
        <w:t xml:space="preserve">The six core papers students commonly study for are:</w:t>
      </w:r>
    </w:p>
    <w:p>
      <w:pPr>
        <w:pStyle w:val="ListParagraph"/>
        <w:numPr>
          <w:ilvl w:val="0"/>
          <w:numId w:val="3"/>
        </w:numPr>
        <w:spacing w:after="80" w:line="280"/>
      </w:pPr>
      <w:r>
        <w:rPr>
          <w:color w:val="262626"/>
          <w:sz w:val="22"/>
          <w:szCs w:val="22"/>
        </w:rPr>
        <w:t xml:space="preserve">First Language – Marathi (for Marathi-medium students) or the student's chosen first language</w:t>
      </w:r>
    </w:p>
    <w:p>
      <w:pPr>
        <w:pStyle w:val="ListParagraph"/>
        <w:numPr>
          <w:ilvl w:val="0"/>
          <w:numId w:val="3"/>
        </w:numPr>
        <w:spacing w:after="80" w:line="280"/>
      </w:pPr>
      <w:r>
        <w:rPr>
          <w:color w:val="262626"/>
          <w:sz w:val="22"/>
          <w:szCs w:val="22"/>
        </w:rPr>
        <w:t xml:space="preserve">English – Second or Third Language paper</w:t>
      </w:r>
    </w:p>
    <w:p>
      <w:pPr>
        <w:pStyle w:val="ListParagraph"/>
        <w:numPr>
          <w:ilvl w:val="0"/>
          <w:numId w:val="3"/>
        </w:numPr>
        <w:spacing w:after="80" w:line="280"/>
      </w:pPr>
      <w:r>
        <w:rPr>
          <w:color w:val="262626"/>
          <w:sz w:val="22"/>
          <w:szCs w:val="22"/>
        </w:rPr>
        <w:t xml:space="preserve">Hindi – Second or Third Language paper (composition varies by medium)</w:t>
      </w:r>
    </w:p>
    <w:p>
      <w:pPr>
        <w:pStyle w:val="ListParagraph"/>
        <w:numPr>
          <w:ilvl w:val="0"/>
          <w:numId w:val="3"/>
        </w:numPr>
        <w:spacing w:after="80" w:line="280"/>
      </w:pPr>
      <w:r>
        <w:rPr>
          <w:color w:val="262626"/>
          <w:sz w:val="22"/>
          <w:szCs w:val="22"/>
        </w:rPr>
        <w:t xml:space="preserve">Mathematics – Part I: Algebra and Part II: Geometry</w:t>
      </w:r>
    </w:p>
    <w:p>
      <w:pPr>
        <w:pStyle w:val="ListParagraph"/>
        <w:numPr>
          <w:ilvl w:val="0"/>
          <w:numId w:val="3"/>
        </w:numPr>
        <w:spacing w:after="80" w:line="280"/>
      </w:pPr>
      <w:r>
        <w:rPr>
          <w:color w:val="262626"/>
          <w:sz w:val="22"/>
          <w:szCs w:val="22"/>
        </w:rPr>
        <w:t xml:space="preserve">Science and Technology – Part I and Part II</w:t>
      </w:r>
    </w:p>
    <w:p>
      <w:pPr>
        <w:pStyle w:val="ListParagraph"/>
        <w:numPr>
          <w:ilvl w:val="0"/>
          <w:numId w:val="3"/>
        </w:numPr>
        <w:spacing w:after="80" w:line="280"/>
      </w:pPr>
      <w:r>
        <w:rPr>
          <w:color w:val="262626"/>
          <w:sz w:val="22"/>
          <w:szCs w:val="22"/>
        </w:rPr>
        <w:t xml:space="preserve">Social Science – History &amp; Political Science, and Geography</w:t>
      </w:r>
    </w:p>
    <w:p>
      <w:pPr>
        <w:spacing w:after="160" w:line="300"/>
      </w:pPr>
      <w:r>
        <w:rPr>
          <w:color w:val="262626"/>
          <w:sz w:val="22"/>
          <w:szCs w:val="22"/>
        </w:rPr>
        <w:t xml:space="preserve">Each of these is explored in detail, chapter by chapter, in the next section — with its own colour for quick navigation.</w:t>
      </w:r>
    </w:p>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90" w:hRule="atLeast"/>
        </w:trPr>
        <w:tc>
          <w:tcPr>
            <w:tcW w:type="dxa" w:w="9000"/>
            <w:tcBorders>
              <w:top w:val="none" w:color="FFFFFF" w:sz="0"/>
              <w:left w:val="none" w:color="FFFFFF" w:sz="0"/>
              <w:bottom w:val="none" w:color="FFFFFF" w:sz="0"/>
              <w:right w:val="none" w:color="FFFFFF" w:sz="0"/>
            </w:tcBorders>
            <w:shd w:fill="8E3B8E" w:color="auto" w:val="clear"/>
          </w:tcPr>
          <w:p/>
        </w:tc>
      </w:tr>
    </w:tbl>
    <w:p>
      <w:pPr>
        <w:pStyle w:val="Heading1"/>
        <w:spacing w:after="200" w:before="160"/>
      </w:pPr>
      <w:r>
        <w:rPr>
          <w:b/>
          <w:bCs/>
          <w:color w:val="8E3B8E"/>
          <w:sz w:val="34"/>
          <w:szCs w:val="34"/>
        </w:rPr>
        <w:t xml:space="preserve">3.  Subject-wise Syllabus</w:t>
      </w:r>
    </w:p>
    <w:p>
      <w:pPr>
        <w:spacing w:after="160" w:line="300"/>
      </w:pPr>
      <w:r>
        <w:rPr>
          <w:color w:val="262626"/>
          <w:sz w:val="22"/>
          <w:szCs w:val="22"/>
        </w:rPr>
        <w:t xml:space="preserve">This section presents the syllabus for each core subject, colour-coded for quick navigation. Chapter names follow the Balbharati textbooks currently prescribed by MSBSHSE. Because the board periodically revises chapter titles and sequencing, treat this as a structural guide and verify exact chapter numbers against the current-year textbook.</w:t>
      </w:r>
    </w:p>
    <w:p>
      <w:pPr>
        <w:pStyle w:val="Heading2"/>
        <w:pBdr>
          <w:bottom w:val="single" w:color="6A3EA1" w:sz="6" w:space="4"/>
        </w:pBdr>
        <w:spacing w:after="140" w:before="320"/>
      </w:pPr>
      <w:r>
        <w:rPr>
          <w:b/>
          <w:bCs/>
          <w:color w:val="6A3EA1"/>
          <w:sz w:val="26"/>
          <w:szCs w:val="26"/>
        </w:rPr>
        <w:t xml:space="preserve">3.1  English (Second / Third Language)</w:t>
      </w:r>
    </w:p>
    <w:p>
      <w:pPr>
        <w:spacing w:after="160" w:line="300"/>
      </w:pPr>
      <w:r>
        <w:rPr>
          <w:color w:val="262626"/>
          <w:sz w:val="22"/>
          <w:szCs w:val="22"/>
        </w:rPr>
        <w:t xml:space="preserve">The English syllabus is designed to build proficiency across all four language skills — listening, speaking, reading, and writing — while also cultivating an appreciation for literature. The course draws on prose, poetry, and non-detailed reading material, framed with reference to national curriculum guidelines.</w:t>
      </w:r>
    </w:p>
    <w:p>
      <w:pPr>
        <w:pStyle w:val="Heading3"/>
        <w:spacing w:after="100" w:before="200"/>
      </w:pPr>
      <w:r>
        <w:rPr>
          <w:b/>
          <w:bCs/>
          <w:color w:val="6A3EA1"/>
          <w:sz w:val="23"/>
          <w:szCs w:val="23"/>
        </w:rPr>
        <w:t xml:space="preserve">Key components</w:t>
      </w:r>
    </w:p>
    <w:p>
      <w:pPr>
        <w:pStyle w:val="ListParagraph"/>
        <w:numPr>
          <w:ilvl w:val="0"/>
          <w:numId w:val="4"/>
        </w:numPr>
        <w:spacing w:after="80" w:line="280"/>
      </w:pPr>
      <w:r>
        <w:rPr>
          <w:color w:val="262626"/>
          <w:sz w:val="22"/>
          <w:szCs w:val="22"/>
        </w:rPr>
        <w:t xml:space="preserve">Prose – a set of short stories and essays used to build comprehension and vocabulary</w:t>
      </w:r>
    </w:p>
    <w:p>
      <w:pPr>
        <w:pStyle w:val="ListParagraph"/>
        <w:numPr>
          <w:ilvl w:val="0"/>
          <w:numId w:val="4"/>
        </w:numPr>
        <w:spacing w:after="80" w:line="280"/>
      </w:pPr>
      <w:r>
        <w:rPr>
          <w:color w:val="262626"/>
          <w:sz w:val="22"/>
          <w:szCs w:val="22"/>
        </w:rPr>
        <w:t xml:space="preserve">Poetry – selected poems for appreciation, interpretation, and recitation-based understanding</w:t>
      </w:r>
    </w:p>
    <w:p>
      <w:pPr>
        <w:pStyle w:val="ListParagraph"/>
        <w:numPr>
          <w:ilvl w:val="0"/>
          <w:numId w:val="4"/>
        </w:numPr>
        <w:spacing w:after="80" w:line="280"/>
      </w:pPr>
      <w:r>
        <w:rPr>
          <w:color w:val="262626"/>
          <w:sz w:val="22"/>
          <w:szCs w:val="22"/>
        </w:rPr>
        <w:t xml:space="preserve">Non-detailed reading / supplementary reader – extended reading to build fluency</w:t>
      </w:r>
    </w:p>
    <w:p>
      <w:pPr>
        <w:pStyle w:val="ListParagraph"/>
        <w:numPr>
          <w:ilvl w:val="0"/>
          <w:numId w:val="4"/>
        </w:numPr>
        <w:spacing w:after="80" w:line="280"/>
      </w:pPr>
      <w:r>
        <w:rPr>
          <w:color w:val="262626"/>
          <w:sz w:val="22"/>
          <w:szCs w:val="22"/>
        </w:rPr>
        <w:t xml:space="preserve">Grammar and writing – tenses, sentence transformation, letter writing, essay writing, and note-making</w:t>
      </w:r>
    </w:p>
    <w:p>
      <w:pPr>
        <w:pStyle w:val="ListParagraph"/>
        <w:numPr>
          <w:ilvl w:val="0"/>
          <w:numId w:val="4"/>
        </w:numPr>
        <w:spacing w:after="80" w:line="280"/>
      </w:pPr>
      <w:r>
        <w:rPr>
          <w:color w:val="262626"/>
          <w:sz w:val="22"/>
          <w:szCs w:val="22"/>
        </w:rPr>
        <w:t xml:space="preserve">Language skills weightage – marks are distributed across reading comprehension, vocabulary and grammar, writing skills, and the study of prose and poetry</w:t>
      </w:r>
    </w:p>
    <w:p>
      <w:pPr>
        <w:pStyle w:val="Heading2"/>
        <w:pBdr>
          <w:bottom w:val="single" w:color="D2691E" w:sz="6" w:space="4"/>
        </w:pBdr>
        <w:spacing w:after="140" w:before="320"/>
      </w:pPr>
      <w:r>
        <w:rPr>
          <w:b/>
          <w:bCs/>
          <w:color w:val="D2691E"/>
          <w:sz w:val="26"/>
          <w:szCs w:val="26"/>
        </w:rPr>
        <w:t xml:space="preserve">3.2  Marathi / First Language</w:t>
      </w:r>
    </w:p>
    <w:p>
      <w:pPr>
        <w:spacing w:after="160" w:line="300"/>
      </w:pPr>
      <w:r>
        <w:rPr>
          <w:color w:val="262626"/>
          <w:sz w:val="22"/>
          <w:szCs w:val="22"/>
        </w:rPr>
        <w:t xml:space="preserve">For Marathi-medium students, Marathi is studied as the first language (often across two textbooks, in a style similar to Kumarbharati and Aksharbharati readers depending on the stream). For students of other mediums, Marathi is typically studied as a compulsory third language.</w:t>
      </w:r>
    </w:p>
    <w:p>
      <w:pPr>
        <w:pStyle w:val="Heading3"/>
        <w:spacing w:after="100" w:before="200"/>
      </w:pPr>
      <w:r>
        <w:rPr>
          <w:b/>
          <w:bCs/>
          <w:color w:val="D2691E"/>
          <w:sz w:val="23"/>
          <w:szCs w:val="23"/>
        </w:rPr>
        <w:t xml:space="preserve">Key components</w:t>
      </w:r>
    </w:p>
    <w:p>
      <w:pPr>
        <w:pStyle w:val="ListParagraph"/>
        <w:numPr>
          <w:ilvl w:val="0"/>
          <w:numId w:val="5"/>
        </w:numPr>
        <w:spacing w:after="80" w:line="280"/>
      </w:pPr>
      <w:r>
        <w:rPr>
          <w:color w:val="262626"/>
          <w:sz w:val="22"/>
          <w:szCs w:val="22"/>
        </w:rPr>
        <w:t xml:space="preserve">Gadya (prose) – stories, biographical pieces, and informative essays</w:t>
      </w:r>
    </w:p>
    <w:p>
      <w:pPr>
        <w:pStyle w:val="ListParagraph"/>
        <w:numPr>
          <w:ilvl w:val="0"/>
          <w:numId w:val="5"/>
        </w:numPr>
        <w:spacing w:after="80" w:line="280"/>
      </w:pPr>
      <w:r>
        <w:rPr>
          <w:color w:val="262626"/>
          <w:sz w:val="22"/>
          <w:szCs w:val="22"/>
        </w:rPr>
        <w:t xml:space="preserve">Padya (poetry) – classical and contemporary poems, including devotional (santwani) verses</w:t>
      </w:r>
    </w:p>
    <w:p>
      <w:pPr>
        <w:pStyle w:val="ListParagraph"/>
        <w:numPr>
          <w:ilvl w:val="0"/>
          <w:numId w:val="5"/>
        </w:numPr>
        <w:spacing w:after="80" w:line="280"/>
      </w:pPr>
      <w:r>
        <w:rPr>
          <w:color w:val="262626"/>
          <w:sz w:val="22"/>
          <w:szCs w:val="22"/>
        </w:rPr>
        <w:t xml:space="preserve">Vyakaran (grammar) – parts of speech, sentence construction, alankar (figures of speech), and vakprachar (idioms)</w:t>
      </w:r>
    </w:p>
    <w:p>
      <w:pPr>
        <w:pStyle w:val="ListParagraph"/>
        <w:numPr>
          <w:ilvl w:val="0"/>
          <w:numId w:val="5"/>
        </w:numPr>
        <w:spacing w:after="80" w:line="280"/>
      </w:pPr>
      <w:r>
        <w:rPr>
          <w:color w:val="262626"/>
          <w:sz w:val="22"/>
          <w:szCs w:val="22"/>
        </w:rPr>
        <w:t xml:space="preserve">Rachna vibhag (composition) – letter writing, essay writing, and application writing</w:t>
      </w:r>
    </w:p>
    <w:p>
      <w:pPr>
        <w:pStyle w:val="ListParagraph"/>
        <w:numPr>
          <w:ilvl w:val="0"/>
          <w:numId w:val="5"/>
        </w:numPr>
        <w:spacing w:after="80" w:line="280"/>
      </w:pPr>
      <w:r>
        <w:rPr>
          <w:color w:val="262626"/>
          <w:sz w:val="22"/>
          <w:szCs w:val="22"/>
        </w:rPr>
        <w:t xml:space="preserve">Utara / comprehension passages testing reading and interpretation skills</w:t>
      </w:r>
    </w:p>
    <w:p>
      <w:r>
        <w:br w:type="page"/>
      </w:r>
    </w:p>
    <w:p>
      <w:pPr>
        <w:pStyle w:val="Heading2"/>
        <w:pBdr>
          <w:bottom w:val="single" w:color="C0392B" w:sz="6" w:space="4"/>
        </w:pBdr>
        <w:spacing w:after="140" w:before="320"/>
      </w:pPr>
      <w:r>
        <w:rPr>
          <w:b/>
          <w:bCs/>
          <w:color w:val="C0392B"/>
          <w:sz w:val="26"/>
          <w:szCs w:val="26"/>
        </w:rPr>
        <w:t xml:space="preserve">3.3  Hindi (Second / Third Language)</w:t>
      </w:r>
    </w:p>
    <w:p>
      <w:pPr>
        <w:spacing w:after="160" w:line="300"/>
      </w:pPr>
      <w:r>
        <w:rPr>
          <w:color w:val="262626"/>
          <w:sz w:val="22"/>
          <w:szCs w:val="22"/>
        </w:rPr>
        <w:t xml:space="preserve">Hindi is studied either as a second or third language depending on the student's medium of instruction. The syllabus balances prose, poetry, and grammar, with an emphasis on comprehension and written expression.</w:t>
      </w:r>
    </w:p>
    <w:p>
      <w:pPr>
        <w:pStyle w:val="Heading3"/>
        <w:spacing w:after="100" w:before="200"/>
      </w:pPr>
      <w:r>
        <w:rPr>
          <w:b/>
          <w:bCs/>
          <w:color w:val="C0392B"/>
          <w:sz w:val="23"/>
          <w:szCs w:val="23"/>
        </w:rPr>
        <w:t xml:space="preserve">Key components</w:t>
      </w:r>
    </w:p>
    <w:p>
      <w:pPr>
        <w:pStyle w:val="ListParagraph"/>
        <w:numPr>
          <w:ilvl w:val="0"/>
          <w:numId w:val="6"/>
        </w:numPr>
        <w:spacing w:after="80" w:line="280"/>
      </w:pPr>
      <w:r>
        <w:rPr>
          <w:color w:val="262626"/>
          <w:sz w:val="22"/>
          <w:szCs w:val="22"/>
        </w:rPr>
        <w:t xml:space="preserve">Gadya khand (prose section) – short stories and essays exploring social and moral themes</w:t>
      </w:r>
    </w:p>
    <w:p>
      <w:pPr>
        <w:pStyle w:val="ListParagraph"/>
        <w:numPr>
          <w:ilvl w:val="0"/>
          <w:numId w:val="6"/>
        </w:numPr>
        <w:spacing w:after="80" w:line="280"/>
      </w:pPr>
      <w:r>
        <w:rPr>
          <w:color w:val="262626"/>
          <w:sz w:val="22"/>
          <w:szCs w:val="22"/>
        </w:rPr>
        <w:t xml:space="preserve">Kavya khand (poetry section) – selected poems for recitation and interpretation</w:t>
      </w:r>
    </w:p>
    <w:p>
      <w:pPr>
        <w:pStyle w:val="ListParagraph"/>
        <w:numPr>
          <w:ilvl w:val="0"/>
          <w:numId w:val="6"/>
        </w:numPr>
        <w:spacing w:after="80" w:line="280"/>
      </w:pPr>
      <w:r>
        <w:rPr>
          <w:color w:val="262626"/>
          <w:sz w:val="22"/>
          <w:szCs w:val="22"/>
        </w:rPr>
        <w:t xml:space="preserve">Vyakaran (grammar) – sandhi, samas, muhavare (idioms), and sentence correction</w:t>
      </w:r>
    </w:p>
    <w:p>
      <w:pPr>
        <w:pStyle w:val="ListParagraph"/>
        <w:numPr>
          <w:ilvl w:val="0"/>
          <w:numId w:val="6"/>
        </w:numPr>
        <w:spacing w:after="80" w:line="280"/>
      </w:pPr>
      <w:r>
        <w:rPr>
          <w:color w:val="262626"/>
          <w:sz w:val="22"/>
          <w:szCs w:val="22"/>
        </w:rPr>
        <w:t xml:space="preserve">Lekhan (writing) – letter writing, essay writing, and paragraph writing</w:t>
      </w:r>
    </w:p>
    <w:p>
      <w:pPr>
        <w:pStyle w:val="ListParagraph"/>
        <w:numPr>
          <w:ilvl w:val="0"/>
          <w:numId w:val="6"/>
        </w:numPr>
        <w:spacing w:after="80" w:line="280"/>
      </w:pPr>
      <w:r>
        <w:rPr>
          <w:color w:val="262626"/>
          <w:sz w:val="22"/>
          <w:szCs w:val="22"/>
        </w:rPr>
        <w:t xml:space="preserve">Comprehension passages (apathit gadyansh) testing unseen-text reading skills</w:t>
      </w:r>
    </w:p>
    <w:p>
      <w:pPr>
        <w:pStyle w:val="Heading2"/>
        <w:pBdr>
          <w:bottom w:val="single" w:color="1565C0" w:sz="6" w:space="4"/>
        </w:pBdr>
        <w:spacing w:after="140" w:before="320"/>
      </w:pPr>
      <w:r>
        <w:rPr>
          <w:b/>
          <w:bCs/>
          <w:color w:val="1565C0"/>
          <w:sz w:val="26"/>
          <w:szCs w:val="26"/>
        </w:rPr>
        <w:t xml:space="preserve">3.4  Mathematics</w:t>
      </w:r>
    </w:p>
    <w:p>
      <w:pPr>
        <w:spacing w:after="160" w:line="300"/>
      </w:pPr>
      <w:r>
        <w:rPr>
          <w:color w:val="262626"/>
          <w:sz w:val="22"/>
          <w:szCs w:val="22"/>
        </w:rPr>
        <w:t xml:space="preserve">Mathematics is split into two separate papers — Part I (Algebra) and Part II (Geometry) — each carrying its own pass requirement. Together they build the analytical and problem-solving foundation needed for Class 11 Science, Commerce, and competitive entrance exams.</w:t>
      </w:r>
    </w:p>
    <w:p>
      <w:pPr>
        <w:pStyle w:val="Heading3"/>
        <w:spacing w:after="100" w:before="200"/>
      </w:pPr>
      <w:r>
        <w:rPr>
          <w:b/>
          <w:bCs/>
          <w:color w:val="1565C0"/>
          <w:sz w:val="23"/>
          <w:szCs w:val="23"/>
        </w:rPr>
        <w:t xml:space="preserve">Part I – Algebra</w:t>
      </w:r>
    </w:p>
    <w:p>
      <w:pPr>
        <w:pStyle w:val="ListParagraph"/>
        <w:numPr>
          <w:ilvl w:val="0"/>
          <w:numId w:val="7"/>
        </w:numPr>
        <w:spacing w:after="80" w:line="280"/>
      </w:pPr>
      <w:r>
        <w:rPr>
          <w:color w:val="262626"/>
          <w:sz w:val="22"/>
          <w:szCs w:val="22"/>
        </w:rPr>
        <w:t xml:space="preserve">Linear Equations in Two Variables</w:t>
      </w:r>
    </w:p>
    <w:p>
      <w:pPr>
        <w:pStyle w:val="ListParagraph"/>
        <w:numPr>
          <w:ilvl w:val="0"/>
          <w:numId w:val="7"/>
        </w:numPr>
        <w:spacing w:after="80" w:line="280"/>
      </w:pPr>
      <w:r>
        <w:rPr>
          <w:color w:val="262626"/>
          <w:sz w:val="22"/>
          <w:szCs w:val="22"/>
        </w:rPr>
        <w:t xml:space="preserve">Quadratic Equations</w:t>
      </w:r>
    </w:p>
    <w:p>
      <w:pPr>
        <w:pStyle w:val="ListParagraph"/>
        <w:numPr>
          <w:ilvl w:val="0"/>
          <w:numId w:val="7"/>
        </w:numPr>
        <w:spacing w:after="80" w:line="280"/>
      </w:pPr>
      <w:r>
        <w:rPr>
          <w:color w:val="262626"/>
          <w:sz w:val="22"/>
          <w:szCs w:val="22"/>
        </w:rPr>
        <w:t xml:space="preserve">Arithmetic Progression</w:t>
      </w:r>
    </w:p>
    <w:p>
      <w:pPr>
        <w:pStyle w:val="ListParagraph"/>
        <w:numPr>
          <w:ilvl w:val="0"/>
          <w:numId w:val="7"/>
        </w:numPr>
        <w:spacing w:after="80" w:line="280"/>
      </w:pPr>
      <w:r>
        <w:rPr>
          <w:color w:val="262626"/>
          <w:sz w:val="22"/>
          <w:szCs w:val="22"/>
        </w:rPr>
        <w:t xml:space="preserve">Financial Planning</w:t>
      </w:r>
    </w:p>
    <w:p>
      <w:pPr>
        <w:pStyle w:val="ListParagraph"/>
        <w:numPr>
          <w:ilvl w:val="0"/>
          <w:numId w:val="7"/>
        </w:numPr>
        <w:spacing w:after="80" w:line="280"/>
      </w:pPr>
      <w:r>
        <w:rPr>
          <w:color w:val="262626"/>
          <w:sz w:val="22"/>
          <w:szCs w:val="22"/>
        </w:rPr>
        <w:t xml:space="preserve">Probability</w:t>
      </w:r>
    </w:p>
    <w:p>
      <w:pPr>
        <w:pStyle w:val="ListParagraph"/>
        <w:numPr>
          <w:ilvl w:val="0"/>
          <w:numId w:val="7"/>
        </w:numPr>
        <w:spacing w:after="80" w:line="280"/>
      </w:pPr>
      <w:r>
        <w:rPr>
          <w:color w:val="262626"/>
          <w:sz w:val="22"/>
          <w:szCs w:val="22"/>
        </w:rPr>
        <w:t xml:space="preserve">Statistics</w:t>
      </w:r>
    </w:p>
    <w:p>
      <w:pPr>
        <w:pStyle w:val="Heading3"/>
        <w:spacing w:after="100" w:before="200"/>
      </w:pPr>
      <w:r>
        <w:rPr>
          <w:b/>
          <w:bCs/>
          <w:color w:val="1565C0"/>
          <w:sz w:val="23"/>
          <w:szCs w:val="23"/>
        </w:rPr>
        <w:t xml:space="preserve">Part II – Geometry</w:t>
      </w:r>
    </w:p>
    <w:p>
      <w:pPr>
        <w:pStyle w:val="ListParagraph"/>
        <w:numPr>
          <w:ilvl w:val="0"/>
          <w:numId w:val="7"/>
        </w:numPr>
        <w:spacing w:after="80" w:line="280"/>
      </w:pPr>
      <w:r>
        <w:rPr>
          <w:color w:val="262626"/>
          <w:sz w:val="22"/>
          <w:szCs w:val="22"/>
        </w:rPr>
        <w:t xml:space="preserve">Similarity</w:t>
      </w:r>
    </w:p>
    <w:p>
      <w:pPr>
        <w:pStyle w:val="ListParagraph"/>
        <w:numPr>
          <w:ilvl w:val="0"/>
          <w:numId w:val="7"/>
        </w:numPr>
        <w:spacing w:after="80" w:line="280"/>
      </w:pPr>
      <w:r>
        <w:rPr>
          <w:color w:val="262626"/>
          <w:sz w:val="22"/>
          <w:szCs w:val="22"/>
        </w:rPr>
        <w:t xml:space="preserve">Pythagoras Theorem</w:t>
      </w:r>
    </w:p>
    <w:p>
      <w:pPr>
        <w:pStyle w:val="ListParagraph"/>
        <w:numPr>
          <w:ilvl w:val="0"/>
          <w:numId w:val="7"/>
        </w:numPr>
        <w:spacing w:after="80" w:line="280"/>
      </w:pPr>
      <w:r>
        <w:rPr>
          <w:color w:val="262626"/>
          <w:sz w:val="22"/>
          <w:szCs w:val="22"/>
        </w:rPr>
        <w:t xml:space="preserve">Circle</w:t>
      </w:r>
    </w:p>
    <w:p>
      <w:pPr>
        <w:pStyle w:val="ListParagraph"/>
        <w:numPr>
          <w:ilvl w:val="0"/>
          <w:numId w:val="7"/>
        </w:numPr>
        <w:spacing w:after="80" w:line="280"/>
      </w:pPr>
      <w:r>
        <w:rPr>
          <w:color w:val="262626"/>
          <w:sz w:val="22"/>
          <w:szCs w:val="22"/>
        </w:rPr>
        <w:t xml:space="preserve">Geometric Constructions</w:t>
      </w:r>
    </w:p>
    <w:p>
      <w:pPr>
        <w:pStyle w:val="ListParagraph"/>
        <w:numPr>
          <w:ilvl w:val="0"/>
          <w:numId w:val="7"/>
        </w:numPr>
        <w:spacing w:after="80" w:line="280"/>
      </w:pPr>
      <w:r>
        <w:rPr>
          <w:color w:val="262626"/>
          <w:sz w:val="22"/>
          <w:szCs w:val="22"/>
        </w:rPr>
        <w:t xml:space="preserve">Coordinate Geometry</w:t>
      </w:r>
    </w:p>
    <w:p>
      <w:pPr>
        <w:pStyle w:val="ListParagraph"/>
        <w:numPr>
          <w:ilvl w:val="0"/>
          <w:numId w:val="7"/>
        </w:numPr>
        <w:spacing w:after="80" w:line="280"/>
      </w:pPr>
      <w:r>
        <w:rPr>
          <w:color w:val="262626"/>
          <w:sz w:val="22"/>
          <w:szCs w:val="22"/>
        </w:rPr>
        <w:t xml:space="preserve">Trigonometry</w:t>
      </w:r>
    </w:p>
    <w:p>
      <w:pPr>
        <w:pStyle w:val="ListParagraph"/>
        <w:numPr>
          <w:ilvl w:val="0"/>
          <w:numId w:val="7"/>
        </w:numPr>
        <w:spacing w:after="80" w:line="280"/>
      </w:pPr>
      <w:r>
        <w:rPr>
          <w:color w:val="262626"/>
          <w:sz w:val="22"/>
          <w:szCs w:val="22"/>
        </w:rPr>
        <w:t xml:space="preserve">Mensuration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1565C0" w:sz="24"/>
              <w:bottom w:val="none" w:color="FFFFFF" w:sz="0"/>
              <w:right w:val="none" w:color="FFFFFF" w:sz="0"/>
            </w:tcBorders>
            <w:shd w:fill="E3EDFB" w:color="auto" w:val="clear"/>
            <w:tcMar>
              <w:top w:type="dxa" w:w="140"/>
              <w:left w:type="dxa" w:w="200"/>
              <w:bottom w:type="dxa" w:w="140"/>
              <w:right w:type="dxa" w:w="200"/>
            </w:tcMar>
          </w:tcPr>
          <w:p>
            <w:r>
              <w:rPr>
                <w:i/>
                <w:iCs/>
                <w:color w:val="3A3A3A"/>
                <w:sz w:val="20"/>
                <w:szCs w:val="20"/>
              </w:rPr>
              <w:t xml:space="preserve">Each Mathematics paper (Algebra and Geometry) is generally worth 40 marks for the written theory component, with the remaining marks allocated to internal assessment, bringing the subject total to 100.</w:t>
            </w:r>
          </w:p>
        </w:tc>
      </w:tr>
    </w:tbl>
    <w:p>
      <w:r>
        <w:br w:type="page"/>
      </w:r>
    </w:p>
    <w:p>
      <w:pPr>
        <w:pStyle w:val="Heading2"/>
        <w:pBdr>
          <w:bottom w:val="single" w:color="1E8449" w:sz="6" w:space="4"/>
        </w:pBdr>
        <w:spacing w:after="140" w:before="320"/>
      </w:pPr>
      <w:r>
        <w:rPr>
          <w:b/>
          <w:bCs/>
          <w:color w:val="1E8449"/>
          <w:sz w:val="26"/>
          <w:szCs w:val="26"/>
        </w:rPr>
        <w:t xml:space="preserve">3.5  Science and Technology</w:t>
      </w:r>
    </w:p>
    <w:p>
      <w:pPr>
        <w:spacing w:after="160" w:line="300"/>
      </w:pPr>
      <w:r>
        <w:rPr>
          <w:color w:val="262626"/>
          <w:sz w:val="22"/>
          <w:szCs w:val="22"/>
        </w:rPr>
        <w:t xml:space="preserve">Science is likewise split into two papers, integrating Physics, Chemistry, and Biology, with an emphasis on connecting theoretical concepts to practical application, experimentation, and environmental awareness. Each part typically contains around ten chapters.</w:t>
      </w:r>
    </w:p>
    <w:p>
      <w:pPr>
        <w:pStyle w:val="Heading3"/>
        <w:spacing w:after="100" w:before="200"/>
      </w:pPr>
      <w:r>
        <w:rPr>
          <w:b/>
          <w:bCs/>
          <w:color w:val="1E8449"/>
          <w:sz w:val="23"/>
          <w:szCs w:val="23"/>
        </w:rPr>
        <w:t xml:space="preserve">Part I – typical focus areas</w:t>
      </w:r>
    </w:p>
    <w:p>
      <w:pPr>
        <w:pStyle w:val="ListParagraph"/>
        <w:numPr>
          <w:ilvl w:val="0"/>
          <w:numId w:val="8"/>
        </w:numPr>
        <w:spacing w:after="80" w:line="280"/>
      </w:pPr>
      <w:r>
        <w:rPr>
          <w:color w:val="262626"/>
          <w:sz w:val="22"/>
          <w:szCs w:val="22"/>
        </w:rPr>
        <w:t xml:space="preserve">Gravitation</w:t>
      </w:r>
    </w:p>
    <w:p>
      <w:pPr>
        <w:pStyle w:val="ListParagraph"/>
        <w:numPr>
          <w:ilvl w:val="0"/>
          <w:numId w:val="8"/>
        </w:numPr>
        <w:spacing w:after="80" w:line="280"/>
      </w:pPr>
      <w:r>
        <w:rPr>
          <w:color w:val="262626"/>
          <w:sz w:val="22"/>
          <w:szCs w:val="22"/>
        </w:rPr>
        <w:t xml:space="preserve">Periodic Classification of Elements</w:t>
      </w:r>
    </w:p>
    <w:p>
      <w:pPr>
        <w:pStyle w:val="ListParagraph"/>
        <w:numPr>
          <w:ilvl w:val="0"/>
          <w:numId w:val="8"/>
        </w:numPr>
        <w:spacing w:after="80" w:line="280"/>
      </w:pPr>
      <w:r>
        <w:rPr>
          <w:color w:val="262626"/>
          <w:sz w:val="22"/>
          <w:szCs w:val="22"/>
        </w:rPr>
        <w:t xml:space="preserve">Chemical Reactions and Equations</w:t>
      </w:r>
    </w:p>
    <w:p>
      <w:pPr>
        <w:pStyle w:val="ListParagraph"/>
        <w:numPr>
          <w:ilvl w:val="0"/>
          <w:numId w:val="8"/>
        </w:numPr>
        <w:spacing w:after="80" w:line="280"/>
      </w:pPr>
      <w:r>
        <w:rPr>
          <w:color w:val="262626"/>
          <w:sz w:val="22"/>
          <w:szCs w:val="22"/>
        </w:rPr>
        <w:t xml:space="preserve">Effects of Electric Current (magnetic effects, electromagnetism)</w:t>
      </w:r>
    </w:p>
    <w:p>
      <w:pPr>
        <w:pStyle w:val="ListParagraph"/>
        <w:numPr>
          <w:ilvl w:val="0"/>
          <w:numId w:val="8"/>
        </w:numPr>
        <w:spacing w:after="80" w:line="280"/>
      </w:pPr>
      <w:r>
        <w:rPr>
          <w:color w:val="262626"/>
          <w:sz w:val="22"/>
          <w:szCs w:val="22"/>
        </w:rPr>
        <w:t xml:space="preserve">Heat</w:t>
      </w:r>
    </w:p>
    <w:p>
      <w:pPr>
        <w:pStyle w:val="ListParagraph"/>
        <w:numPr>
          <w:ilvl w:val="0"/>
          <w:numId w:val="8"/>
        </w:numPr>
        <w:spacing w:after="80" w:line="280"/>
      </w:pPr>
      <w:r>
        <w:rPr>
          <w:color w:val="262626"/>
          <w:sz w:val="22"/>
          <w:szCs w:val="22"/>
        </w:rPr>
        <w:t xml:space="preserve">Refraction and reflection of Light</w:t>
      </w:r>
    </w:p>
    <w:p>
      <w:pPr>
        <w:pStyle w:val="ListParagraph"/>
        <w:numPr>
          <w:ilvl w:val="0"/>
          <w:numId w:val="8"/>
        </w:numPr>
        <w:spacing w:after="80" w:line="280"/>
      </w:pPr>
      <w:r>
        <w:rPr>
          <w:color w:val="262626"/>
          <w:sz w:val="22"/>
          <w:szCs w:val="22"/>
        </w:rPr>
        <w:t xml:space="preserve">Lenses and optical instruments</w:t>
      </w:r>
    </w:p>
    <w:p>
      <w:pPr>
        <w:pStyle w:val="ListParagraph"/>
        <w:numPr>
          <w:ilvl w:val="0"/>
          <w:numId w:val="8"/>
        </w:numPr>
        <w:spacing w:after="80" w:line="280"/>
      </w:pPr>
      <w:r>
        <w:rPr>
          <w:color w:val="262626"/>
          <w:sz w:val="22"/>
          <w:szCs w:val="22"/>
        </w:rPr>
        <w:t xml:space="preserve">Metallurgy (metals and non-metals)</w:t>
      </w:r>
    </w:p>
    <w:p>
      <w:pPr>
        <w:pStyle w:val="ListParagraph"/>
        <w:numPr>
          <w:ilvl w:val="0"/>
          <w:numId w:val="8"/>
        </w:numPr>
        <w:spacing w:after="80" w:line="280"/>
      </w:pPr>
      <w:r>
        <w:rPr>
          <w:color w:val="262626"/>
          <w:sz w:val="22"/>
          <w:szCs w:val="22"/>
        </w:rPr>
        <w:t xml:space="preserve">Carbon compounds</w:t>
      </w:r>
    </w:p>
    <w:p>
      <w:pPr>
        <w:pStyle w:val="ListParagraph"/>
        <w:numPr>
          <w:ilvl w:val="0"/>
          <w:numId w:val="8"/>
        </w:numPr>
        <w:spacing w:after="80" w:line="280"/>
      </w:pPr>
      <w:r>
        <w:rPr>
          <w:color w:val="262626"/>
          <w:sz w:val="22"/>
          <w:szCs w:val="22"/>
        </w:rPr>
        <w:t xml:space="preserve">Space missions and satellites</w:t>
      </w:r>
    </w:p>
    <w:p>
      <w:pPr>
        <w:pStyle w:val="Heading3"/>
        <w:spacing w:after="100" w:before="200"/>
      </w:pPr>
      <w:r>
        <w:rPr>
          <w:b/>
          <w:bCs/>
          <w:color w:val="1E8449"/>
          <w:sz w:val="23"/>
          <w:szCs w:val="23"/>
        </w:rPr>
        <w:t xml:space="preserve">Part II – typical focus areas</w:t>
      </w:r>
    </w:p>
    <w:p>
      <w:pPr>
        <w:pStyle w:val="ListParagraph"/>
        <w:numPr>
          <w:ilvl w:val="0"/>
          <w:numId w:val="8"/>
        </w:numPr>
        <w:spacing w:after="80" w:line="280"/>
      </w:pPr>
      <w:r>
        <w:rPr>
          <w:color w:val="262626"/>
          <w:sz w:val="22"/>
          <w:szCs w:val="22"/>
        </w:rPr>
        <w:t xml:space="preserve">Heredity and Evolution</w:t>
      </w:r>
    </w:p>
    <w:p>
      <w:pPr>
        <w:pStyle w:val="ListParagraph"/>
        <w:numPr>
          <w:ilvl w:val="0"/>
          <w:numId w:val="8"/>
        </w:numPr>
        <w:spacing w:after="80" w:line="280"/>
      </w:pPr>
      <w:r>
        <w:rPr>
          <w:color w:val="262626"/>
          <w:sz w:val="22"/>
          <w:szCs w:val="22"/>
        </w:rPr>
        <w:t xml:space="preserve">Life processes and control &amp; co-ordination in living organisms</w:t>
      </w:r>
    </w:p>
    <w:p>
      <w:pPr>
        <w:pStyle w:val="ListParagraph"/>
        <w:numPr>
          <w:ilvl w:val="0"/>
          <w:numId w:val="8"/>
        </w:numPr>
        <w:spacing w:after="80" w:line="280"/>
      </w:pPr>
      <w:r>
        <w:rPr>
          <w:color w:val="262626"/>
          <w:sz w:val="22"/>
          <w:szCs w:val="22"/>
        </w:rPr>
        <w:t xml:space="preserve">Introduction to Microbiology</w:t>
      </w:r>
    </w:p>
    <w:p>
      <w:pPr>
        <w:pStyle w:val="ListParagraph"/>
        <w:numPr>
          <w:ilvl w:val="0"/>
          <w:numId w:val="8"/>
        </w:numPr>
        <w:spacing w:after="80" w:line="280"/>
      </w:pPr>
      <w:r>
        <w:rPr>
          <w:color w:val="262626"/>
          <w:sz w:val="22"/>
          <w:szCs w:val="22"/>
        </w:rPr>
        <w:t xml:space="preserve">Cell biology and cell division</w:t>
      </w:r>
    </w:p>
    <w:p>
      <w:pPr>
        <w:pStyle w:val="ListParagraph"/>
        <w:numPr>
          <w:ilvl w:val="0"/>
          <w:numId w:val="8"/>
        </w:numPr>
        <w:spacing w:after="80" w:line="280"/>
      </w:pPr>
      <w:r>
        <w:rPr>
          <w:color w:val="262626"/>
          <w:sz w:val="22"/>
          <w:szCs w:val="22"/>
        </w:rPr>
        <w:t xml:space="preserve">Environmental management</w:t>
      </w:r>
    </w:p>
    <w:p>
      <w:pPr>
        <w:pStyle w:val="ListParagraph"/>
        <w:numPr>
          <w:ilvl w:val="0"/>
          <w:numId w:val="8"/>
        </w:numPr>
        <w:spacing w:after="80" w:line="280"/>
      </w:pPr>
      <w:r>
        <w:rPr>
          <w:color w:val="262626"/>
          <w:sz w:val="22"/>
          <w:szCs w:val="22"/>
        </w:rPr>
        <w:t xml:space="preserve">Towards a Green Energy Era (renewable and sustainable energy)</w:t>
      </w:r>
    </w:p>
    <w:p>
      <w:pPr>
        <w:pStyle w:val="ListParagraph"/>
        <w:numPr>
          <w:ilvl w:val="0"/>
          <w:numId w:val="8"/>
        </w:numPr>
        <w:spacing w:after="80" w:line="280"/>
      </w:pPr>
      <w:r>
        <w:rPr>
          <w:color w:val="262626"/>
          <w:sz w:val="22"/>
          <w:szCs w:val="22"/>
        </w:rPr>
        <w:t xml:space="preserve">Animal classification</w:t>
      </w:r>
    </w:p>
    <w:p>
      <w:pPr>
        <w:pStyle w:val="ListParagraph"/>
        <w:numPr>
          <w:ilvl w:val="0"/>
          <w:numId w:val="8"/>
        </w:numPr>
        <w:spacing w:after="80" w:line="280"/>
      </w:pPr>
      <w:r>
        <w:rPr>
          <w:color w:val="262626"/>
          <w:sz w:val="22"/>
          <w:szCs w:val="22"/>
        </w:rPr>
        <w:t xml:space="preserve">Introduction to Biotechnology</w:t>
      </w:r>
    </w:p>
    <w:p>
      <w:pPr>
        <w:pStyle w:val="ListParagraph"/>
        <w:numPr>
          <w:ilvl w:val="0"/>
          <w:numId w:val="8"/>
        </w:numPr>
        <w:spacing w:after="80" w:line="280"/>
      </w:pPr>
      <w:r>
        <w:rPr>
          <w:color w:val="262626"/>
          <w:sz w:val="22"/>
          <w:szCs w:val="22"/>
        </w:rPr>
        <w:t xml:space="preserve">Social health</w:t>
      </w:r>
    </w:p>
    <w:p>
      <w:pPr>
        <w:pStyle w:val="ListParagraph"/>
        <w:numPr>
          <w:ilvl w:val="0"/>
          <w:numId w:val="8"/>
        </w:numPr>
        <w:spacing w:after="80" w:line="280"/>
      </w:pPr>
      <w:r>
        <w:rPr>
          <w:color w:val="262626"/>
          <w:sz w:val="22"/>
          <w:szCs w:val="22"/>
        </w:rPr>
        <w:t xml:space="preserve">Disaster management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1E8449" w:sz="24"/>
              <w:bottom w:val="none" w:color="FFFFFF" w:sz="0"/>
              <w:right w:val="none" w:color="FFFFFF" w:sz="0"/>
            </w:tcBorders>
            <w:shd w:fill="E4F3E9" w:color="auto" w:val="clear"/>
            <w:tcMar>
              <w:top w:type="dxa" w:w="140"/>
              <w:left w:type="dxa" w:w="200"/>
              <w:bottom w:type="dxa" w:w="140"/>
              <w:right w:type="dxa" w:w="200"/>
            </w:tcMar>
          </w:tcPr>
          <w:p>
            <w:r>
              <w:rPr>
                <w:i/>
                <w:iCs/>
                <w:color w:val="3A3A3A"/>
                <w:sz w:val="20"/>
                <w:szCs w:val="20"/>
              </w:rPr>
              <w:t xml:space="preserve">Chapter titles and order are periodically revised by the board; recent editions have also added emphasis on environmental sustainability topics. As with Mathematics, each Science paper carries 40 theory marks, with the remaining marks assigned to internal assessment/practicals.</w:t>
            </w:r>
          </w:p>
        </w:tc>
      </w:tr>
    </w:tbl>
    <w:p>
      <w:r>
        <w:br w:type="page"/>
      </w:r>
    </w:p>
    <w:p>
      <w:pPr>
        <w:pStyle w:val="Heading2"/>
        <w:pBdr>
          <w:bottom w:val="single" w:color="A6710A" w:sz="6" w:space="4"/>
        </w:pBdr>
        <w:spacing w:after="140" w:before="320"/>
      </w:pPr>
      <w:r>
        <w:rPr>
          <w:b/>
          <w:bCs/>
          <w:color w:val="A6710A"/>
          <w:sz w:val="26"/>
          <w:szCs w:val="26"/>
        </w:rPr>
        <w:t xml:space="preserve">3.6  Social Science</w:t>
      </w:r>
    </w:p>
    <w:p>
      <w:pPr>
        <w:spacing w:after="160" w:line="300"/>
      </w:pPr>
      <w:r>
        <w:rPr>
          <w:color w:val="262626"/>
          <w:sz w:val="22"/>
          <w:szCs w:val="22"/>
        </w:rPr>
        <w:t xml:space="preserve">Social Science combines two written components — History &amp; Political Science, and Geography — each assessed through a separate 40-mark paper, for a subject total of 80 written marks (with the remainder allocated to internal assessment/projects).</w:t>
      </w:r>
    </w:p>
    <w:p>
      <w:pPr>
        <w:pStyle w:val="Heading3"/>
        <w:spacing w:after="100" w:before="200"/>
      </w:pPr>
      <w:r>
        <w:rPr>
          <w:b/>
          <w:bCs/>
          <w:color w:val="A6710A"/>
          <w:sz w:val="23"/>
          <w:szCs w:val="23"/>
        </w:rPr>
        <w:t xml:space="preserve">History (Applied History)</w:t>
      </w:r>
    </w:p>
    <w:p>
      <w:pPr>
        <w:pStyle w:val="ListParagraph"/>
        <w:numPr>
          <w:ilvl w:val="0"/>
          <w:numId w:val="9"/>
        </w:numPr>
        <w:spacing w:after="80" w:line="280"/>
      </w:pPr>
      <w:r>
        <w:rPr>
          <w:color w:val="262626"/>
          <w:sz w:val="22"/>
          <w:szCs w:val="22"/>
        </w:rPr>
        <w:t xml:space="preserve">Historiography: Development in the West</w:t>
      </w:r>
    </w:p>
    <w:p>
      <w:pPr>
        <w:pStyle w:val="ListParagraph"/>
        <w:numPr>
          <w:ilvl w:val="0"/>
          <w:numId w:val="9"/>
        </w:numPr>
        <w:spacing w:after="80" w:line="280"/>
      </w:pPr>
      <w:r>
        <w:rPr>
          <w:color w:val="262626"/>
          <w:sz w:val="22"/>
          <w:szCs w:val="22"/>
        </w:rPr>
        <w:t xml:space="preserve">Historiography: Indian Tradition</w:t>
      </w:r>
    </w:p>
    <w:p>
      <w:pPr>
        <w:pStyle w:val="ListParagraph"/>
        <w:numPr>
          <w:ilvl w:val="0"/>
          <w:numId w:val="9"/>
        </w:numPr>
        <w:spacing w:after="80" w:line="280"/>
      </w:pPr>
      <w:r>
        <w:rPr>
          <w:color w:val="262626"/>
          <w:sz w:val="22"/>
          <w:szCs w:val="22"/>
        </w:rPr>
        <w:t xml:space="preserve">Applied History – practical uses of historical study</w:t>
      </w:r>
    </w:p>
    <w:p>
      <w:pPr>
        <w:pStyle w:val="ListParagraph"/>
        <w:numPr>
          <w:ilvl w:val="0"/>
          <w:numId w:val="9"/>
        </w:numPr>
        <w:spacing w:after="80" w:line="280"/>
      </w:pPr>
      <w:r>
        <w:rPr>
          <w:color w:val="262626"/>
          <w:sz w:val="22"/>
          <w:szCs w:val="22"/>
        </w:rPr>
        <w:t xml:space="preserve">Mass Media and History</w:t>
      </w:r>
    </w:p>
    <w:p>
      <w:pPr>
        <w:pStyle w:val="ListParagraph"/>
        <w:numPr>
          <w:ilvl w:val="0"/>
          <w:numId w:val="9"/>
        </w:numPr>
        <w:spacing w:after="80" w:line="280"/>
      </w:pPr>
      <w:r>
        <w:rPr>
          <w:color w:val="262626"/>
          <w:sz w:val="22"/>
          <w:szCs w:val="22"/>
        </w:rPr>
        <w:t xml:space="preserve">Sports and History</w:t>
      </w:r>
    </w:p>
    <w:p>
      <w:pPr>
        <w:pStyle w:val="ListParagraph"/>
        <w:numPr>
          <w:ilvl w:val="0"/>
          <w:numId w:val="9"/>
        </w:numPr>
        <w:spacing w:after="80" w:line="280"/>
      </w:pPr>
      <w:r>
        <w:rPr>
          <w:color w:val="262626"/>
          <w:sz w:val="22"/>
          <w:szCs w:val="22"/>
        </w:rPr>
        <w:t xml:space="preserve">Tourism and History</w:t>
      </w:r>
    </w:p>
    <w:p>
      <w:pPr>
        <w:pStyle w:val="ListParagraph"/>
        <w:numPr>
          <w:ilvl w:val="0"/>
          <w:numId w:val="9"/>
        </w:numPr>
        <w:spacing w:after="80" w:line="280"/>
      </w:pPr>
      <w:r>
        <w:rPr>
          <w:color w:val="262626"/>
          <w:sz w:val="22"/>
          <w:szCs w:val="22"/>
        </w:rPr>
        <w:t xml:space="preserve">Heritage Management</w:t>
      </w:r>
    </w:p>
    <w:p>
      <w:pPr>
        <w:pStyle w:val="Heading3"/>
        <w:spacing w:after="100" w:before="200"/>
      </w:pPr>
      <w:r>
        <w:rPr>
          <w:b/>
          <w:bCs/>
          <w:color w:val="A6710A"/>
          <w:sz w:val="23"/>
          <w:szCs w:val="23"/>
        </w:rPr>
        <w:t xml:space="preserve">Political Science</w:t>
      </w:r>
    </w:p>
    <w:p>
      <w:pPr>
        <w:pStyle w:val="ListParagraph"/>
        <w:numPr>
          <w:ilvl w:val="0"/>
          <w:numId w:val="9"/>
        </w:numPr>
        <w:spacing w:after="80" w:line="280"/>
      </w:pPr>
      <w:r>
        <w:rPr>
          <w:color w:val="262626"/>
          <w:sz w:val="22"/>
          <w:szCs w:val="22"/>
        </w:rPr>
        <w:t xml:space="preserve">Working of the Constitution</w:t>
      </w:r>
    </w:p>
    <w:p>
      <w:pPr>
        <w:pStyle w:val="ListParagraph"/>
        <w:numPr>
          <w:ilvl w:val="0"/>
          <w:numId w:val="9"/>
        </w:numPr>
        <w:spacing w:after="80" w:line="280"/>
      </w:pPr>
      <w:r>
        <w:rPr>
          <w:color w:val="262626"/>
          <w:sz w:val="22"/>
          <w:szCs w:val="22"/>
        </w:rPr>
        <w:t xml:space="preserve">The Electoral Process</w:t>
      </w:r>
    </w:p>
    <w:p>
      <w:pPr>
        <w:pStyle w:val="ListParagraph"/>
        <w:numPr>
          <w:ilvl w:val="0"/>
          <w:numId w:val="9"/>
        </w:numPr>
        <w:spacing w:after="80" w:line="280"/>
      </w:pPr>
      <w:r>
        <w:rPr>
          <w:color w:val="262626"/>
          <w:sz w:val="22"/>
          <w:szCs w:val="22"/>
        </w:rPr>
        <w:t xml:space="preserve">Political Parties</w:t>
      </w:r>
    </w:p>
    <w:p>
      <w:pPr>
        <w:pStyle w:val="ListParagraph"/>
        <w:numPr>
          <w:ilvl w:val="0"/>
          <w:numId w:val="9"/>
        </w:numPr>
        <w:spacing w:after="80" w:line="280"/>
      </w:pPr>
      <w:r>
        <w:rPr>
          <w:color w:val="262626"/>
          <w:sz w:val="22"/>
          <w:szCs w:val="22"/>
        </w:rPr>
        <w:t xml:space="preserve">Social and Political Movements</w:t>
      </w:r>
    </w:p>
    <w:p>
      <w:pPr>
        <w:pStyle w:val="Heading3"/>
        <w:spacing w:after="100" w:before="200"/>
      </w:pPr>
      <w:r>
        <w:rPr>
          <w:b/>
          <w:bCs/>
          <w:color w:val="A6710A"/>
          <w:sz w:val="23"/>
          <w:szCs w:val="23"/>
        </w:rPr>
        <w:t xml:space="preserve">Geography</w:t>
      </w:r>
    </w:p>
    <w:p>
      <w:pPr>
        <w:pStyle w:val="ListParagraph"/>
        <w:numPr>
          <w:ilvl w:val="0"/>
          <w:numId w:val="9"/>
        </w:numPr>
        <w:spacing w:after="80" w:line="280"/>
      </w:pPr>
      <w:r>
        <w:rPr>
          <w:color w:val="262626"/>
          <w:sz w:val="22"/>
          <w:szCs w:val="22"/>
        </w:rPr>
        <w:t xml:space="preserve">Field Visit (fieldwork and mapping skills)</w:t>
      </w:r>
    </w:p>
    <w:p>
      <w:pPr>
        <w:pStyle w:val="ListParagraph"/>
        <w:numPr>
          <w:ilvl w:val="0"/>
          <w:numId w:val="9"/>
        </w:numPr>
        <w:spacing w:after="80" w:line="280"/>
      </w:pPr>
      <w:r>
        <w:rPr>
          <w:color w:val="262626"/>
          <w:sz w:val="22"/>
          <w:szCs w:val="22"/>
        </w:rPr>
        <w:t xml:space="preserve">Location and Extent</w:t>
      </w:r>
    </w:p>
    <w:p>
      <w:pPr>
        <w:pStyle w:val="ListParagraph"/>
        <w:numPr>
          <w:ilvl w:val="0"/>
          <w:numId w:val="9"/>
        </w:numPr>
        <w:spacing w:after="80" w:line="280"/>
      </w:pPr>
      <w:r>
        <w:rPr>
          <w:color w:val="262626"/>
          <w:sz w:val="22"/>
          <w:szCs w:val="22"/>
        </w:rPr>
        <w:t xml:space="preserve">Physiography and Drainage</w:t>
      </w:r>
    </w:p>
    <w:p>
      <w:pPr>
        <w:pStyle w:val="ListParagraph"/>
        <w:numPr>
          <w:ilvl w:val="0"/>
          <w:numId w:val="9"/>
        </w:numPr>
        <w:spacing w:after="80" w:line="280"/>
      </w:pPr>
      <w:r>
        <w:rPr>
          <w:color w:val="262626"/>
          <w:sz w:val="22"/>
          <w:szCs w:val="22"/>
        </w:rPr>
        <w:t xml:space="preserve">Climate</w:t>
      </w:r>
    </w:p>
    <w:p>
      <w:pPr>
        <w:pStyle w:val="ListParagraph"/>
        <w:numPr>
          <w:ilvl w:val="0"/>
          <w:numId w:val="9"/>
        </w:numPr>
        <w:spacing w:after="80" w:line="280"/>
      </w:pPr>
      <w:r>
        <w:rPr>
          <w:color w:val="262626"/>
          <w:sz w:val="22"/>
          <w:szCs w:val="22"/>
        </w:rPr>
        <w:t xml:space="preserve">Natural Vegetation and Wildlife</w:t>
      </w:r>
    </w:p>
    <w:p>
      <w:pPr>
        <w:pStyle w:val="ListParagraph"/>
        <w:numPr>
          <w:ilvl w:val="0"/>
          <w:numId w:val="9"/>
        </w:numPr>
        <w:spacing w:after="80" w:line="280"/>
      </w:pPr>
      <w:r>
        <w:rPr>
          <w:color w:val="262626"/>
          <w:sz w:val="22"/>
          <w:szCs w:val="22"/>
        </w:rPr>
        <w:t xml:space="preserve">Population</w:t>
      </w:r>
    </w:p>
    <w:p>
      <w:pPr>
        <w:pStyle w:val="ListParagraph"/>
        <w:numPr>
          <w:ilvl w:val="0"/>
          <w:numId w:val="9"/>
        </w:numPr>
        <w:spacing w:after="80" w:line="280"/>
      </w:pPr>
      <w:r>
        <w:rPr>
          <w:color w:val="262626"/>
          <w:sz w:val="22"/>
          <w:szCs w:val="22"/>
        </w:rPr>
        <w:t xml:space="preserve">Human Settlements</w:t>
      </w:r>
    </w:p>
    <w:p>
      <w:pPr>
        <w:pStyle w:val="ListParagraph"/>
        <w:numPr>
          <w:ilvl w:val="0"/>
          <w:numId w:val="9"/>
        </w:numPr>
        <w:spacing w:after="80" w:line="280"/>
      </w:pPr>
      <w:r>
        <w:rPr>
          <w:color w:val="262626"/>
          <w:sz w:val="22"/>
          <w:szCs w:val="22"/>
        </w:rPr>
        <w:t xml:space="preserve">Economy and Occupations</w:t>
      </w:r>
    </w:p>
    <w:p>
      <w:pPr>
        <w:pStyle w:val="ListParagraph"/>
        <w:numPr>
          <w:ilvl w:val="0"/>
          <w:numId w:val="9"/>
        </w:numPr>
        <w:spacing w:after="80" w:line="280"/>
      </w:pPr>
      <w:r>
        <w:rPr>
          <w:color w:val="262626"/>
          <w:sz w:val="22"/>
          <w:szCs w:val="22"/>
        </w:rPr>
        <w:t xml:space="preserve">Tourism, Transport, and Communication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A6710A" w:sz="24"/>
              <w:bottom w:val="none" w:color="FFFFFF" w:sz="0"/>
              <w:right w:val="none" w:color="FFFFFF" w:sz="0"/>
            </w:tcBorders>
            <w:shd w:fill="FBF1DC" w:color="auto" w:val="clear"/>
            <w:tcMar>
              <w:top w:type="dxa" w:w="140"/>
              <w:left w:type="dxa" w:w="200"/>
              <w:bottom w:type="dxa" w:w="140"/>
              <w:right w:type="dxa" w:w="200"/>
            </w:tcMar>
          </w:tcPr>
          <w:p>
            <w:r>
              <w:rPr>
                <w:i/>
                <w:iCs/>
                <w:color w:val="3A3A3A"/>
                <w:sz w:val="20"/>
                <w:szCs w:val="20"/>
              </w:rPr>
              <w:t xml:space="preserve">Some editions of the syllabus also fold in Economics topics such as inflation and government schemes under the Political Science/Economics component. Check the current textbook's table of contents for the exact chapter count for the examination year.</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rPr>
          <w:trHeight w:val="90" w:hRule="atLeast"/>
        </w:trPr>
        <w:tc>
          <w:tcPr>
            <w:tcW w:type="dxa" w:w="9000"/>
            <w:tcBorders>
              <w:top w:val="none" w:color="FFFFFF" w:sz="0"/>
              <w:left w:val="none" w:color="FFFFFF" w:sz="0"/>
              <w:bottom w:val="none" w:color="FFFFFF" w:sz="0"/>
              <w:right w:val="none" w:color="FFFFFF" w:sz="0"/>
            </w:tcBorders>
            <w:shd w:fill="B8860B" w:color="auto" w:val="clear"/>
          </w:tcPr>
          <w:p/>
        </w:tc>
      </w:tr>
    </w:tbl>
    <w:p>
      <w:pPr>
        <w:pStyle w:val="Heading1"/>
        <w:spacing w:after="200" w:before="160"/>
      </w:pPr>
      <w:r>
        <w:rPr>
          <w:b/>
          <w:bCs/>
          <w:color w:val="B8860B"/>
          <w:sz w:val="34"/>
          <w:szCs w:val="34"/>
        </w:rPr>
        <w:t xml:space="preserve">4.  Conclusion</w:t>
      </w:r>
    </w:p>
    <w:p>
      <w:pPr>
        <w:spacing w:after="160" w:line="300"/>
      </w:pPr>
      <w:r>
        <w:rPr>
          <w:color w:val="262626"/>
          <w:sz w:val="22"/>
          <w:szCs w:val="22"/>
        </w:rPr>
        <w:t xml:space="preserve">The Maharashtra SSC syllabus is deliberately broad — spanning languages, mathematics, the physical and life sciences, and the social sciences — because Class 10 is meant to give every student a well-rounded academic foundation before they choose a specialised stream in Class 11. Understanding the shape of this syllabus early in the year, rather than discovering it chapter by chapter, is one of the simplest ways a student can turn a large, unfamiliar course of study into a manageable plan.</w:t>
      </w:r>
    </w:p>
    <w:p>
      <w:pPr>
        <w:pStyle w:val="Heading3"/>
        <w:spacing w:after="100" w:before="200"/>
      </w:pPr>
      <w:r>
        <w:rPr>
          <w:b/>
          <w:bCs/>
          <w:color w:val="B8860B"/>
          <w:sz w:val="23"/>
          <w:szCs w:val="23"/>
        </w:rPr>
        <w:t xml:space="preserve">Practical takeaways</w:t>
      </w:r>
    </w:p>
    <w:p>
      <w:pPr>
        <w:pStyle w:val="ListParagraph"/>
        <w:numPr>
          <w:ilvl w:val="0"/>
          <w:numId w:val="10"/>
        </w:numPr>
        <w:spacing w:after="80" w:line="280"/>
      </w:pPr>
      <w:r>
        <w:rPr>
          <w:color w:val="262626"/>
          <w:sz w:val="22"/>
          <w:szCs w:val="22"/>
        </w:rPr>
        <w:t xml:space="preserve">Start with the syllabus, not the textbook: knowing how marks are distributed across papers (e.g., Algebra vs Geometry, or History vs Geography) helps prioritise study time realistically.</w:t>
      </w:r>
    </w:p>
    <w:p>
      <w:pPr>
        <w:pStyle w:val="ListParagraph"/>
        <w:numPr>
          <w:ilvl w:val="0"/>
          <w:numId w:val="10"/>
        </w:numPr>
        <w:spacing w:after="80" w:line="280"/>
      </w:pPr>
      <w:r>
        <w:rPr>
          <w:color w:val="262626"/>
          <w:sz w:val="22"/>
          <w:szCs w:val="22"/>
        </w:rPr>
        <w:t xml:space="preserve">Treat Mathematics and Science as two subjects each, since each is examined as two separate papers with independent pass requirements.</w:t>
      </w:r>
    </w:p>
    <w:p>
      <w:pPr>
        <w:pStyle w:val="ListParagraph"/>
        <w:numPr>
          <w:ilvl w:val="0"/>
          <w:numId w:val="10"/>
        </w:numPr>
        <w:spacing w:after="80" w:line="280"/>
      </w:pPr>
      <w:r>
        <w:rPr>
          <w:color w:val="262626"/>
          <w:sz w:val="22"/>
          <w:szCs w:val="22"/>
        </w:rPr>
        <w:t xml:space="preserve">Build language skills gradually across the year — grammar, comprehension, and writing in English, Marathi, and Hindi improve with steady practice rather than last-minute revision.</w:t>
      </w:r>
    </w:p>
    <w:p>
      <w:pPr>
        <w:pStyle w:val="ListParagraph"/>
        <w:numPr>
          <w:ilvl w:val="0"/>
          <w:numId w:val="10"/>
        </w:numPr>
        <w:spacing w:after="80" w:line="280"/>
      </w:pPr>
      <w:r>
        <w:rPr>
          <w:color w:val="262626"/>
          <w:sz w:val="22"/>
          <w:szCs w:val="22"/>
        </w:rPr>
        <w:t xml:space="preserve">Use previous years' question papers and the board's official sample papers to understand question patterns once the syllabus itself feels familiar.</w:t>
      </w:r>
    </w:p>
    <w:p>
      <w:pPr>
        <w:pStyle w:val="ListParagraph"/>
        <w:numPr>
          <w:ilvl w:val="0"/>
          <w:numId w:val="10"/>
        </w:numPr>
        <w:spacing w:after="80" w:line="280"/>
      </w:pPr>
      <w:r>
        <w:rPr>
          <w:color w:val="262626"/>
          <w:sz w:val="22"/>
          <w:szCs w:val="22"/>
        </w:rPr>
        <w:t xml:space="preserve">Always cross-check the current academic year's official syllabus PDF and textbooks published via ebalbharati.in or the MSBSHSE website (mahahsscboard.in), since chapter names and weightages are revised periodically.</w:t>
      </w:r>
    </w:p>
    <w:p>
      <w:pPr>
        <w:spacing w:after="160" w:line="300"/>
      </w:pPr>
      <w:r>
        <w:rPr>
          <w:color w:val="262626"/>
          <w:sz w:val="22"/>
          <w:szCs w:val="22"/>
        </w:rPr>
        <w:t xml:space="preserve">Ultimately, the SSC syllabus is a roadmap, not an obstacle. With a clear view of what lies ahead — subject by subject, chapter by chapter — students are far better placed to plan their preparation, manage their time across the academic year, and approach the board examination with confidence.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3"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4"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5"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6"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7"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8"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9"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abstractNum w:abstractNumId="10" w15:restartNumberingAfterBreak="0">
    <w:multiLevelType w:val="hybridMultilevel"/>
    <w:lvl w:ilvl="0" w15:tentative="1">
      <w:start w:val="1"/>
      <w:numFmt w:val="bullet"/>
      <w:lvlText w:val="•"/>
      <w:lvlJc w:val="left"/>
      <w:pPr>
        <w:ind w:left="450" w:hanging="260"/>
      </w:pPr>
    </w:lvl>
    <w:lvl w:ilvl="1" w15:tentative="1">
      <w:start w:val="1"/>
      <w:numFmt w:val="bullet"/>
      <w:lvlText w:val="◦"/>
      <w:lvlJc w:val="left"/>
      <w:pPr>
        <w:ind w:left="80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2026-07-10T11:29:44.760Z</dcterms:created>
  <dcterms:modified xsi:type="dcterms:W3CDTF">2026-07-10T11:29:44.774Z</dcterms:modified>
</cp:coreProperties>
</file>

<file path=docProps/custom.xml><?xml version="1.0" encoding="utf-8"?>
<Properties xmlns="http://schemas.openxmlformats.org/officeDocument/2006/custom-properties" xmlns:vt="http://schemas.openxmlformats.org/officeDocument/2006/docPropsVTypes"/>
</file>