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12240"/>
        <w:tblBorders>
          <w:top w:val="none" w:color="FFFFFF" w:sz="0"/>
          <w:left w:val="none" w:color="FFFFFF" w:sz="0"/>
          <w:bottom w:val="none" w:color="FFFFFF" w:sz="0"/>
          <w:right w:val="none" w:color="FFFFFF" w:sz="0"/>
          <w:insideH w:val="none" w:color="FFFFFF" w:sz="0"/>
          <w:insideV w:val="none" w:color="FFFFFF" w:sz="0"/>
        </w:tblBorders>
      </w:tblPr>
      <w:tblGrid>
        <w:gridCol w:w="12240"/>
      </w:tblGrid>
      <w:tr>
        <w:trPr>
          <w:trHeight w:val="15840" w:hRule="exact"/>
        </w:trPr>
        <w:tc>
          <w:tcPr>
            <w:tcW w:type="dxa" w:w="12240"/>
            <w:shd w:fill="1B2A4A" w:val="clear"/>
            <w:tcMar>
              <w:top w:type="dxa" w:w="0"/>
              <w:left w:type="dxa" w:w="1000"/>
              <w:bottom w:type="dxa" w:w="0"/>
              <w:right w:type="dxa" w:w="1000"/>
            </w:tcMar>
            <w:vAlign w:val="center"/>
          </w:tcPr>
          <w:p>
            <w:pPr>
              <w:spacing w:after="1400"/>
            </w:pPr>
            <w:r>
              <w:t xml:space="preserve"/>
            </w:r>
          </w:p>
          <w:p>
            <w:pPr>
              <w:spacing w:after="200"/>
              <w:jc w:val="center"/>
            </w:pPr>
            <w:r>
              <w:rPr>
                <w:rFonts w:ascii="Cambria" w:cs="Cambria" w:eastAsia="Cambria" w:hAnsi="Cambria"/>
                <w:b/>
                <w:bCs/>
                <w:color w:val="C9962C"/>
                <w:spacing w:val="20"/>
                <w:sz w:val="22"/>
                <w:szCs w:val="22"/>
              </w:rPr>
              <w:t xml:space="preserve">MSBSHSE  ·  ACADEMIC YEAR 2025–26</w:t>
            </w:r>
          </w:p>
          <w:p>
            <w:pPr>
              <w:spacing w:after="60"/>
              <w:jc w:val="center"/>
            </w:pPr>
            <w:r>
              <w:rPr>
                <w:rFonts w:ascii="Cambria" w:cs="Cambria" w:eastAsia="Cambria" w:hAnsi="Cambria"/>
                <w:b/>
                <w:bCs/>
                <w:color w:val="FFFFFF"/>
                <w:sz w:val="64"/>
                <w:szCs w:val="64"/>
              </w:rPr>
              <w:t xml:space="preserve">MAHARASHTRA</w:t>
            </w:r>
          </w:p>
          <w:p>
            <w:pPr>
              <w:spacing w:after="60"/>
              <w:jc w:val="center"/>
            </w:pPr>
            <w:r>
              <w:rPr>
                <w:rFonts w:ascii="Cambria" w:cs="Cambria" w:eastAsia="Cambria" w:hAnsi="Cambria"/>
                <w:b/>
                <w:bCs/>
                <w:color w:val="FFFFFF"/>
                <w:sz w:val="64"/>
                <w:szCs w:val="64"/>
              </w:rPr>
              <w:t xml:space="preserve">SSC EXAM PATTERN</w:t>
            </w:r>
          </w:p>
          <w:p>
            <w:pPr>
              <w:spacing w:after="700" w:before="200"/>
              <w:jc w:val="center"/>
            </w:pPr>
            <w:r>
              <w:rPr>
                <w:rFonts w:ascii="Calibri" w:cs="Calibri" w:eastAsia="Calibri" w:hAnsi="Calibri"/>
                <w:i/>
                <w:iCs/>
                <w:color w:val="EEF2F8"/>
                <w:sz w:val="26"/>
                <w:szCs w:val="26"/>
              </w:rPr>
              <w:t xml:space="preserve">A Complete Guide to the Class 10 Board Examination Structure, Subject-wise Blueprint &amp; Marking Scheme</w:t>
            </w:r>
          </w:p>
          <w:p>
            <w:pPr>
              <w:pBdr>
                <w:top w:val="single" w:color="C9962C" w:sz="6" w:space="12"/>
              </w:pBdr>
              <w:spacing w:after="40"/>
              <w:jc w:val="center"/>
            </w:pPr>
            <w:r>
              <w:rPr>
                <w:sz w:val="2"/>
                <w:szCs w:val="2"/>
              </w:rPr>
              <w:t xml:space="preserve"> </w:t>
            </w:r>
          </w:p>
          <w:p>
            <w:pPr>
              <w:spacing w:before="900"/>
              <w:jc w:val="center"/>
            </w:pPr>
            <w:r>
              <w:rPr>
                <w:rFonts w:ascii="Cambria" w:cs="Cambria" w:eastAsia="Cambria" w:hAnsi="Cambria"/>
                <w:b/>
                <w:bCs/>
                <w:color w:val="FFFFFF"/>
                <w:sz w:val="24"/>
                <w:szCs w:val="24"/>
              </w:rPr>
              <w:t xml:space="preserve">Secondary School Certificate Examination</w:t>
            </w:r>
          </w:p>
          <w:p>
            <w:pPr>
              <w:spacing w:after="40"/>
              <w:jc w:val="center"/>
            </w:pPr>
            <w:r>
              <w:rPr>
                <w:rFonts w:ascii="Calibri" w:cs="Calibri" w:eastAsia="Calibri" w:hAnsi="Calibri"/>
                <w:color w:val="EEF2F8"/>
                <w:sz w:val="20"/>
                <w:szCs w:val="20"/>
              </w:rPr>
              <w:t xml:space="preserve">Maharashtra State Board of Secondary and Higher Secondary Education, Pune</w:t>
            </w:r>
          </w:p>
        </w:tc>
      </w:tr>
    </w:tbl>
    <w:p>
      <w:pPr>
        <w:sectPr>
          <w:pgSz w:w="12240" w:h="15840" w:orient="portrait"/>
          <w:pgMar w:top="0" w:right="0" w:bottom="0" w:left="0" w:header="708" w:footer="708" w:gutter="0"/>
          <w:pgNumType/>
          <w:docGrid w:linePitch="360"/>
        </w:sectPr>
      </w:pPr>
    </w:p>
    <w:p>
      <w:pPr>
        <w:spacing w:after="320"/>
      </w:pPr>
      <w:r>
        <w:rPr>
          <w:rFonts w:ascii="Cambria" w:cs="Cambria" w:eastAsia="Cambria" w:hAnsi="Cambria"/>
          <w:b/>
          <w:bCs/>
          <w:color w:val="1B2A4A"/>
          <w:sz w:val="34"/>
          <w:szCs w:val="34"/>
        </w:rPr>
        <w:t xml:space="preserve">Table of Contents</w:t>
      </w:r>
    </w:p>
    <w:p>
      <w:pPr>
        <w:tabs>
          <w:tab w:val="right" w:pos="9026" w:leader="dot"/>
        </w:tabs>
        <w:spacing w:after="200"/>
      </w:pPr>
      <w:r>
        <w:rPr>
          <w:rFonts w:ascii="Cambria" w:cs="Cambria" w:eastAsia="Cambria" w:hAnsi="Cambria"/>
          <w:b/>
          <w:bCs/>
          <w:color w:val="C9962C"/>
          <w:sz w:val="22"/>
          <w:szCs w:val="22"/>
        </w:rPr>
        <w:t xml:space="preserve">1.   </w:t>
      </w:r>
      <w:r>
        <w:rPr>
          <w:rFonts w:ascii="Cambria" w:cs="Cambria" w:eastAsia="Cambria" w:hAnsi="Cambria"/>
          <w:color w:val="1B2A4A"/>
          <w:sz w:val="22"/>
          <w:szCs w:val="22"/>
        </w:rPr>
        <w:t xml:space="preserve">Introduction</w:t>
      </w:r>
      <w:r>
        <w:rPr>
          <w:rFonts w:ascii="Calibri" w:cs="Calibri" w:eastAsia="Calibri" w:hAnsi="Calibri"/>
          <w:color w:val="5B6472"/>
          <w:sz w:val="22"/>
          <w:szCs w:val="22"/>
        </w:rPr>
        <w:t xml:space="preserve">	3</w:t>
      </w:r>
    </w:p>
    <w:p>
      <w:pPr>
        <w:tabs>
          <w:tab w:val="right" w:pos="9026" w:leader="dot"/>
        </w:tabs>
        <w:spacing w:after="200"/>
      </w:pPr>
      <w:r>
        <w:rPr>
          <w:rFonts w:ascii="Cambria" w:cs="Cambria" w:eastAsia="Cambria" w:hAnsi="Cambria"/>
          <w:b/>
          <w:bCs/>
          <w:color w:val="C9962C"/>
          <w:sz w:val="22"/>
          <w:szCs w:val="22"/>
        </w:rPr>
        <w:t xml:space="preserve">2.   </w:t>
      </w:r>
      <w:r>
        <w:rPr>
          <w:rFonts w:ascii="Cambria" w:cs="Cambria" w:eastAsia="Cambria" w:hAnsi="Cambria"/>
          <w:color w:val="1B2A4A"/>
          <w:sz w:val="22"/>
          <w:szCs w:val="22"/>
        </w:rPr>
        <w:t xml:space="preserve">Overview of the Exam Pattern</w:t>
      </w:r>
      <w:r>
        <w:rPr>
          <w:rFonts w:ascii="Calibri" w:cs="Calibri" w:eastAsia="Calibri" w:hAnsi="Calibri"/>
          <w:color w:val="5B6472"/>
          <w:sz w:val="22"/>
          <w:szCs w:val="22"/>
        </w:rPr>
        <w:t xml:space="preserve">	4</w:t>
      </w:r>
    </w:p>
    <w:p>
      <w:pPr>
        <w:tabs>
          <w:tab w:val="right" w:pos="9026" w:leader="dot"/>
        </w:tabs>
        <w:spacing w:after="200"/>
      </w:pPr>
      <w:r>
        <w:rPr>
          <w:rFonts w:ascii="Cambria" w:cs="Cambria" w:eastAsia="Cambria" w:hAnsi="Cambria"/>
          <w:b/>
          <w:bCs/>
          <w:color w:val="C9962C"/>
          <w:sz w:val="22"/>
          <w:szCs w:val="22"/>
        </w:rPr>
        <w:t xml:space="preserve">3.   </w:t>
      </w:r>
      <w:r>
        <w:rPr>
          <w:rFonts w:ascii="Cambria" w:cs="Cambria" w:eastAsia="Cambria" w:hAnsi="Cambria"/>
          <w:color w:val="1B2A4A"/>
          <w:sz w:val="22"/>
          <w:szCs w:val="22"/>
        </w:rPr>
        <w:t xml:space="preserve">Subject-wise Exam Pattern</w:t>
      </w:r>
      <w:r>
        <w:rPr>
          <w:rFonts w:ascii="Calibri" w:cs="Calibri" w:eastAsia="Calibri" w:hAnsi="Calibri"/>
          <w:color w:val="5B6472"/>
          <w:sz w:val="22"/>
          <w:szCs w:val="22"/>
        </w:rPr>
        <w:t xml:space="preserve">	5</w:t>
      </w:r>
    </w:p>
    <w:p>
      <w:pPr>
        <w:tabs>
          <w:tab w:val="right" w:pos="9026" w:leader="dot"/>
        </w:tabs>
        <w:spacing w:after="200"/>
      </w:pPr>
      <w:r>
        <w:rPr>
          <w:rFonts w:ascii="Cambria" w:cs="Cambria" w:eastAsia="Cambria" w:hAnsi="Cambria"/>
          <w:b/>
          <w:bCs/>
          <w:color w:val="C9962C"/>
          <w:sz w:val="22"/>
          <w:szCs w:val="22"/>
        </w:rPr>
        <w:t xml:space="preserve">   </w:t>
      </w:r>
      <w:r>
        <w:rPr>
          <w:rFonts w:ascii="Cambria" w:cs="Cambria" w:eastAsia="Cambria" w:hAnsi="Cambria"/>
          <w:color w:val="1B2A4A"/>
          <w:sz w:val="22"/>
          <w:szCs w:val="22"/>
        </w:rPr>
        <w:t xml:space="preserve">3.1  Language Papers (English / Marathi / Hindi / Optional Languages)</w:t>
      </w:r>
      <w:r>
        <w:rPr>
          <w:rFonts w:ascii="Calibri" w:cs="Calibri" w:eastAsia="Calibri" w:hAnsi="Calibri"/>
          <w:color w:val="5B6472"/>
          <w:sz w:val="22"/>
          <w:szCs w:val="22"/>
        </w:rPr>
        <w:t xml:space="preserve">	5</w:t>
      </w:r>
    </w:p>
    <w:p>
      <w:pPr>
        <w:tabs>
          <w:tab w:val="right" w:pos="9026" w:leader="dot"/>
        </w:tabs>
        <w:spacing w:after="200"/>
      </w:pPr>
      <w:r>
        <w:rPr>
          <w:rFonts w:ascii="Cambria" w:cs="Cambria" w:eastAsia="Cambria" w:hAnsi="Cambria"/>
          <w:b/>
          <w:bCs/>
          <w:color w:val="C9962C"/>
          <w:sz w:val="22"/>
          <w:szCs w:val="22"/>
        </w:rPr>
        <w:t xml:space="preserve">   </w:t>
      </w:r>
      <w:r>
        <w:rPr>
          <w:rFonts w:ascii="Cambria" w:cs="Cambria" w:eastAsia="Cambria" w:hAnsi="Cambria"/>
          <w:color w:val="1B2A4A"/>
          <w:sz w:val="22"/>
          <w:szCs w:val="22"/>
        </w:rPr>
        <w:t xml:space="preserve">3.2  Mathematics</w:t>
      </w:r>
      <w:r>
        <w:rPr>
          <w:rFonts w:ascii="Calibri" w:cs="Calibri" w:eastAsia="Calibri" w:hAnsi="Calibri"/>
          <w:color w:val="5B6472"/>
          <w:sz w:val="22"/>
          <w:szCs w:val="22"/>
        </w:rPr>
        <w:t xml:space="preserve">	6</w:t>
      </w:r>
    </w:p>
    <w:p>
      <w:pPr>
        <w:tabs>
          <w:tab w:val="right" w:pos="9026" w:leader="dot"/>
        </w:tabs>
        <w:spacing w:after="200"/>
      </w:pPr>
      <w:r>
        <w:rPr>
          <w:rFonts w:ascii="Cambria" w:cs="Cambria" w:eastAsia="Cambria" w:hAnsi="Cambria"/>
          <w:b/>
          <w:bCs/>
          <w:color w:val="C9962C"/>
          <w:sz w:val="22"/>
          <w:szCs w:val="22"/>
        </w:rPr>
        <w:t xml:space="preserve">   </w:t>
      </w:r>
      <w:r>
        <w:rPr>
          <w:rFonts w:ascii="Cambria" w:cs="Cambria" w:eastAsia="Cambria" w:hAnsi="Cambria"/>
          <w:color w:val="1B2A4A"/>
          <w:sz w:val="22"/>
          <w:szCs w:val="22"/>
        </w:rPr>
        <w:t xml:space="preserve">3.3  Science &amp; Technology</w:t>
      </w:r>
      <w:r>
        <w:rPr>
          <w:rFonts w:ascii="Calibri" w:cs="Calibri" w:eastAsia="Calibri" w:hAnsi="Calibri"/>
          <w:color w:val="5B6472"/>
          <w:sz w:val="22"/>
          <w:szCs w:val="22"/>
        </w:rPr>
        <w:t xml:space="preserve">	6</w:t>
      </w:r>
    </w:p>
    <w:p>
      <w:pPr>
        <w:tabs>
          <w:tab w:val="right" w:pos="9026" w:leader="dot"/>
        </w:tabs>
        <w:spacing w:after="200"/>
      </w:pPr>
      <w:r>
        <w:rPr>
          <w:rFonts w:ascii="Cambria" w:cs="Cambria" w:eastAsia="Cambria" w:hAnsi="Cambria"/>
          <w:b/>
          <w:bCs/>
          <w:color w:val="C9962C"/>
          <w:sz w:val="22"/>
          <w:szCs w:val="22"/>
        </w:rPr>
        <w:t xml:space="preserve">   </w:t>
      </w:r>
      <w:r>
        <w:rPr>
          <w:rFonts w:ascii="Cambria" w:cs="Cambria" w:eastAsia="Cambria" w:hAnsi="Cambria"/>
          <w:color w:val="1B2A4A"/>
          <w:sz w:val="22"/>
          <w:szCs w:val="22"/>
        </w:rPr>
        <w:t xml:space="preserve">3.4  Social Science</w:t>
      </w:r>
      <w:r>
        <w:rPr>
          <w:rFonts w:ascii="Calibri" w:cs="Calibri" w:eastAsia="Calibri" w:hAnsi="Calibri"/>
          <w:color w:val="5B6472"/>
          <w:sz w:val="22"/>
          <w:szCs w:val="22"/>
        </w:rPr>
        <w:t xml:space="preserve">	7</w:t>
      </w:r>
    </w:p>
    <w:p>
      <w:pPr>
        <w:tabs>
          <w:tab w:val="right" w:pos="9026" w:leader="dot"/>
        </w:tabs>
        <w:spacing w:after="200"/>
      </w:pPr>
      <w:r>
        <w:rPr>
          <w:rFonts w:ascii="Cambria" w:cs="Cambria" w:eastAsia="Cambria" w:hAnsi="Cambria"/>
          <w:b/>
          <w:bCs/>
          <w:color w:val="C9962C"/>
          <w:sz w:val="22"/>
          <w:szCs w:val="22"/>
        </w:rPr>
        <w:t xml:space="preserve">4.   </w:t>
      </w:r>
      <w:r>
        <w:rPr>
          <w:rFonts w:ascii="Cambria" w:cs="Cambria" w:eastAsia="Cambria" w:hAnsi="Cambria"/>
          <w:color w:val="1B2A4A"/>
          <w:sz w:val="22"/>
          <w:szCs w:val="22"/>
        </w:rPr>
        <w:t xml:space="preserve">Marking Scheme &amp; Grading System</w:t>
      </w:r>
      <w:r>
        <w:rPr>
          <w:rFonts w:ascii="Calibri" w:cs="Calibri" w:eastAsia="Calibri" w:hAnsi="Calibri"/>
          <w:color w:val="5B6472"/>
          <w:sz w:val="22"/>
          <w:szCs w:val="22"/>
        </w:rPr>
        <w:t xml:space="preserve">	8</w:t>
      </w:r>
    </w:p>
    <w:p>
      <w:pPr>
        <w:tabs>
          <w:tab w:val="right" w:pos="9026" w:leader="dot"/>
        </w:tabs>
        <w:spacing w:after="200"/>
      </w:pPr>
      <w:r>
        <w:rPr>
          <w:rFonts w:ascii="Cambria" w:cs="Cambria" w:eastAsia="Cambria" w:hAnsi="Cambria"/>
          <w:b/>
          <w:bCs/>
          <w:color w:val="C9962C"/>
          <w:sz w:val="22"/>
          <w:szCs w:val="22"/>
        </w:rPr>
        <w:t xml:space="preserve">5.   </w:t>
      </w:r>
      <w:r>
        <w:rPr>
          <w:rFonts w:ascii="Cambria" w:cs="Cambria" w:eastAsia="Cambria" w:hAnsi="Cambria"/>
          <w:color w:val="1B2A4A"/>
          <w:sz w:val="22"/>
          <w:szCs w:val="22"/>
        </w:rPr>
        <w:t xml:space="preserve">Conclusion</w:t>
      </w:r>
      <w:r>
        <w:rPr>
          <w:rFonts w:ascii="Calibri" w:cs="Calibri" w:eastAsia="Calibri" w:hAnsi="Calibri"/>
          <w:color w:val="5B6472"/>
          <w:sz w:val="22"/>
          <w:szCs w:val="22"/>
        </w:rPr>
        <w:t xml:space="preserve">	9</w:t>
      </w:r>
    </w:p>
    <w:p>
      <w:r>
        <w:br w:type="page"/>
      </w:r>
    </w:p>
    <w:p>
      <w:pPr>
        <w:pStyle w:val="Heading1"/>
        <w:pBdr>
          <w:bottom w:val="single" w:color="C9962C" w:sz="6" w:space="6"/>
        </w:pBdr>
        <w:spacing w:after="240" w:before="480"/>
      </w:pPr>
      <w:r>
        <w:rPr>
          <w:rFonts w:ascii="Cambria" w:cs="Cambria" w:eastAsia="Cambria" w:hAnsi="Cambria"/>
          <w:b/>
          <w:bCs/>
          <w:color w:val="C9962C"/>
          <w:sz w:val="30"/>
          <w:szCs w:val="30"/>
        </w:rPr>
        <w:t xml:space="preserve">1.  </w:t>
      </w:r>
      <w:r>
        <w:rPr>
          <w:rFonts w:ascii="Cambria" w:cs="Cambria" w:eastAsia="Cambria" w:hAnsi="Cambria"/>
          <w:b/>
          <w:bCs/>
          <w:color w:val="1B2A4A"/>
          <w:sz w:val="30"/>
          <w:szCs w:val="30"/>
        </w:rPr>
        <w:t xml:space="preserve">Introduction</w:t>
      </w:r>
    </w:p>
    <w:p>
      <w:pPr>
        <w:spacing w:after="160" w:line="300"/>
      </w:pPr>
      <w:r>
        <w:rPr>
          <w:rFonts w:ascii="Calibri" w:cs="Calibri" w:eastAsia="Calibri" w:hAnsi="Calibri"/>
          <w:color w:val="222222"/>
          <w:sz w:val="22"/>
          <w:szCs w:val="22"/>
        </w:rPr>
        <w:t xml:space="preserve">The Secondary School Certificate (SSC) Examination, conducted by the Maharashtra State Board of Secondary and Higher Secondary Education (MSBSHSE), Pune, marks a defining milestone in every student's academic journey in the state. Held at the end of Class 10, this board examination evaluates a student's conceptual understanding, application skills, and overall readiness to progress into the higher secondary stage (Class 11 and 12).</w:t>
      </w:r>
    </w:p>
    <w:p>
      <w:pPr>
        <w:spacing w:after="160" w:line="300"/>
      </w:pPr>
      <w:r>
        <w:rPr>
          <w:rFonts w:ascii="Calibri" w:cs="Calibri" w:eastAsia="Calibri" w:hAnsi="Calibri"/>
          <w:color w:val="222222"/>
          <w:sz w:val="22"/>
          <w:szCs w:val="22"/>
        </w:rPr>
        <w:t xml:space="preserve">Every year, lakhs of students across Maharashtra appear for the SSC examination, making it one of the largest state-level board examinations in the country. A clear understanding of the exam pattern — including paper structure, subject-wise weightage, question types, and the marking scheme — is essential for students to plan their preparation strategically and perform to their true potential.</w:t>
      </w:r>
    </w:p>
    <w:p>
      <w:pPr>
        <w:spacing w:after="160" w:line="300"/>
      </w:pPr>
      <w:r>
        <w:rPr>
          <w:rFonts w:ascii="Calibri" w:cs="Calibri" w:eastAsia="Calibri" w:hAnsi="Calibri"/>
          <w:color w:val="222222"/>
          <w:sz w:val="22"/>
          <w:szCs w:val="22"/>
        </w:rPr>
        <w:t xml:space="preserve">This document presents a consolidated and easy-to-reference overview of the Maharashtra SSC Exam Pattern, covering the general examination structure, subject-wise blueprints for core subjects, and the marking and grading scheme followed by the board.</w:t>
      </w:r>
    </w:p>
    <w:tbl>
      <w:tblPr>
        <w:tblW w:type="dxa" w:w="9350"/>
        <w:tblBorders>
          <w:top w:val="single" w:color="C9962C" w:sz="4"/>
          <w:left w:val="single" w:color="C9962C" w:sz="4"/>
          <w:bottom w:val="single" w:color="C9962C" w:sz="4"/>
          <w:right w:val="single" w:color="C9962C" w:sz="4"/>
          <w:insideH w:val="none" w:color="FFFFFF" w:sz="0"/>
          <w:insideV w:val="none" w:color="FFFFFF" w:sz="0"/>
        </w:tblBorders>
      </w:tblPr>
      <w:tblGrid>
        <w:gridCol w:w="100"/>
      </w:tblGrid>
      <w:tr>
        <w:tc>
          <w:tcPr>
            <w:tcW w:type="dxa" w:w="9350"/>
            <w:shd w:fill="EEF2F8" w:val="clear"/>
            <w:tcMar>
              <w:top w:type="dxa" w:w="160"/>
              <w:left w:type="dxa" w:w="200"/>
              <w:bottom w:type="dxa" w:w="160"/>
              <w:right w:type="dxa" w:w="200"/>
            </w:tcMar>
          </w:tcPr>
          <w:p>
            <w:pPr>
              <w:spacing w:after="60"/>
            </w:pPr>
            <w:r>
              <w:rPr>
                <w:rFonts w:ascii="Cambria" w:cs="Cambria" w:eastAsia="Cambria" w:hAnsi="Cambria"/>
                <w:b/>
                <w:bCs/>
                <w:color w:val="1B2A4A"/>
                <w:sz w:val="22"/>
                <w:szCs w:val="22"/>
              </w:rPr>
              <w:t xml:space="preserve">Conducting Authority</w:t>
            </w:r>
          </w:p>
          <w:p>
            <w:r>
              <w:rPr>
                <w:rFonts w:ascii="Calibri" w:cs="Calibri" w:eastAsia="Calibri" w:hAnsi="Calibri"/>
                <w:color w:val="222222"/>
                <w:sz w:val="21"/>
                <w:szCs w:val="21"/>
              </w:rPr>
              <w:t xml:space="preserve">Maharashtra State Board of Secondary and Higher Secondary Education (MSBSHSE), Pune — an autonomous body constituted under the Maharashtra Secondary and Higher Secondary Education Boards Act, 1965.</w:t>
            </w:r>
          </w:p>
        </w:tc>
      </w:tr>
    </w:tbl>
    <w:p>
      <w:pPr>
        <w:pStyle w:val="Heading1"/>
        <w:pBdr>
          <w:bottom w:val="single" w:color="C9962C" w:sz="6" w:space="6"/>
        </w:pBdr>
        <w:spacing w:after="240" w:before="480"/>
      </w:pPr>
      <w:r>
        <w:rPr>
          <w:rFonts w:ascii="Cambria" w:cs="Cambria" w:eastAsia="Cambria" w:hAnsi="Cambria"/>
          <w:b/>
          <w:bCs/>
          <w:color w:val="C9962C"/>
          <w:sz w:val="30"/>
          <w:szCs w:val="30"/>
        </w:rPr>
        <w:t xml:space="preserve">2.  </w:t>
      </w:r>
      <w:r>
        <w:rPr>
          <w:rFonts w:ascii="Cambria" w:cs="Cambria" w:eastAsia="Cambria" w:hAnsi="Cambria"/>
          <w:b/>
          <w:bCs/>
          <w:color w:val="1B2A4A"/>
          <w:sz w:val="30"/>
          <w:szCs w:val="30"/>
        </w:rPr>
        <w:t xml:space="preserve">Overview of the Exam Pattern</w:t>
      </w:r>
    </w:p>
    <w:p>
      <w:pPr>
        <w:spacing w:after="160" w:line="300"/>
      </w:pPr>
      <w:r>
        <w:rPr>
          <w:rFonts w:ascii="Calibri" w:cs="Calibri" w:eastAsia="Calibri" w:hAnsi="Calibri"/>
          <w:color w:val="222222"/>
          <w:sz w:val="22"/>
          <w:szCs w:val="22"/>
        </w:rPr>
        <w:t xml:space="preserve">The Maharashtra SSC examination follows a traditional offline, pen-and-paper format. The overall structure has remained largely stable in recent years, with the board continuing to follow the revised assessment structure introduced under the National Education Policy (NEP) guidelines. Key structural highlights are summarised below.</w:t>
      </w:r>
    </w:p>
    <w:p>
      <w:pPr>
        <w:pStyle w:val="ListParagraph"/>
        <w:numPr>
          <w:ilvl w:val="0"/>
          <w:numId w:val="2"/>
        </w:numPr>
        <w:spacing w:after="90"/>
      </w:pPr>
      <w:r>
        <w:rPr>
          <w:rFonts w:ascii="Calibri" w:cs="Calibri" w:eastAsia="Calibri" w:hAnsi="Calibri"/>
          <w:color w:val="222222"/>
          <w:sz w:val="22"/>
          <w:szCs w:val="22"/>
        </w:rPr>
        <w:t xml:space="preserve">Mode of Examination: Offline (pen-and-paper), conducted at designated examination centres across the state.</w:t>
      </w:r>
    </w:p>
    <w:p>
      <w:pPr>
        <w:pStyle w:val="ListParagraph"/>
        <w:numPr>
          <w:ilvl w:val="0"/>
          <w:numId w:val="2"/>
        </w:numPr>
        <w:spacing w:after="90"/>
      </w:pPr>
      <w:r>
        <w:rPr>
          <w:rFonts w:ascii="Calibri" w:cs="Calibri" w:eastAsia="Calibri" w:hAnsi="Calibri"/>
          <w:color w:val="222222"/>
          <w:sz w:val="22"/>
          <w:szCs w:val="22"/>
        </w:rPr>
        <w:t xml:space="preserve">Number of Subjects: Students appear for six main subjects, comprising core academic subjects and two language papers.</w:t>
      </w:r>
    </w:p>
    <w:p>
      <w:pPr>
        <w:pStyle w:val="ListParagraph"/>
        <w:numPr>
          <w:ilvl w:val="0"/>
          <w:numId w:val="2"/>
        </w:numPr>
        <w:spacing w:after="90"/>
      </w:pPr>
      <w:r>
        <w:rPr>
          <w:rFonts w:ascii="Calibri" w:cs="Calibri" w:eastAsia="Calibri" w:hAnsi="Calibri"/>
          <w:color w:val="222222"/>
          <w:sz w:val="22"/>
          <w:szCs w:val="22"/>
        </w:rPr>
        <w:t xml:space="preserve">Marks per Subject: Each subject paper carries a total of 100 marks.</w:t>
      </w:r>
    </w:p>
    <w:p>
      <w:pPr>
        <w:pStyle w:val="ListParagraph"/>
        <w:numPr>
          <w:ilvl w:val="0"/>
          <w:numId w:val="2"/>
        </w:numPr>
        <w:spacing w:after="90"/>
      </w:pPr>
      <w:r>
        <w:rPr>
          <w:rFonts w:ascii="Calibri" w:cs="Calibri" w:eastAsia="Calibri" w:hAnsi="Calibri"/>
          <w:color w:val="222222"/>
          <w:sz w:val="22"/>
          <w:szCs w:val="22"/>
        </w:rPr>
        <w:t xml:space="preserve">Total Marks: The overall SSC examination is generally computed out of 600 marks (six subjects), though final percentage is calculated on a ‘Best of 5’ basis, i.e. out of 500 marks.</w:t>
      </w:r>
    </w:p>
    <w:p>
      <w:pPr>
        <w:pStyle w:val="ListParagraph"/>
        <w:numPr>
          <w:ilvl w:val="0"/>
          <w:numId w:val="2"/>
        </w:numPr>
        <w:spacing w:after="90"/>
      </w:pPr>
      <w:r>
        <w:rPr>
          <w:rFonts w:ascii="Calibri" w:cs="Calibri" w:eastAsia="Calibri" w:hAnsi="Calibri"/>
          <w:color w:val="222222"/>
          <w:sz w:val="22"/>
          <w:szCs w:val="22"/>
        </w:rPr>
        <w:t xml:space="preserve">Duration: Each subject paper is of 3 hours (180 minutes).</w:t>
      </w:r>
    </w:p>
    <w:p>
      <w:pPr>
        <w:pStyle w:val="ListParagraph"/>
        <w:numPr>
          <w:ilvl w:val="0"/>
          <w:numId w:val="2"/>
        </w:numPr>
        <w:spacing w:after="90"/>
      </w:pPr>
      <w:r>
        <w:rPr>
          <w:rFonts w:ascii="Calibri" w:cs="Calibri" w:eastAsia="Calibri" w:hAnsi="Calibri"/>
          <w:color w:val="222222"/>
          <w:sz w:val="22"/>
          <w:szCs w:val="22"/>
        </w:rPr>
        <w:t xml:space="preserve">Theory–Internal Split: Most subjects are divided into 80 marks for the written theory examination and 20 marks for internal assessment, oral, or practical work.</w:t>
      </w:r>
    </w:p>
    <w:p>
      <w:pPr>
        <w:pStyle w:val="ListParagraph"/>
        <w:numPr>
          <w:ilvl w:val="0"/>
          <w:numId w:val="2"/>
        </w:numPr>
        <w:spacing w:after="90"/>
      </w:pPr>
      <w:r>
        <w:rPr>
          <w:rFonts w:ascii="Calibri" w:cs="Calibri" w:eastAsia="Calibri" w:hAnsi="Calibri"/>
          <w:color w:val="222222"/>
          <w:sz w:val="22"/>
          <w:szCs w:val="22"/>
        </w:rPr>
        <w:t xml:space="preserve">Question Types: Question papers include Multiple Choice Questions (MCQs), very short answer, short answer, and long answer questions, along with internal choices in subjective sections.</w:t>
      </w:r>
    </w:p>
    <w:p>
      <w:pPr>
        <w:pStyle w:val="ListParagraph"/>
        <w:numPr>
          <w:ilvl w:val="0"/>
          <w:numId w:val="2"/>
        </w:numPr>
        <w:spacing w:after="90"/>
      </w:pPr>
      <w:r>
        <w:rPr>
          <w:rFonts w:ascii="Calibri" w:cs="Calibri" w:eastAsia="Calibri" w:hAnsi="Calibri"/>
          <w:color w:val="222222"/>
          <w:sz w:val="22"/>
          <w:szCs w:val="22"/>
        </w:rPr>
        <w:t xml:space="preserve">Negative Marking: There is no negative marking for incorrect answers in the SSC examination.</w:t>
      </w:r>
    </w:p>
    <w:p>
      <w:pPr>
        <w:pStyle w:val="Heading2"/>
        <w:spacing w:after="160" w:before="320"/>
      </w:pPr>
      <w:r>
        <w:rPr>
          <w:rFonts w:ascii="Cambria" w:cs="Cambria" w:eastAsia="Cambria" w:hAnsi="Cambria"/>
          <w:b/>
          <w:bCs/>
          <w:color w:val="1B2A4A"/>
          <w:sz w:val="24"/>
          <w:szCs w:val="24"/>
        </w:rPr>
        <w:t xml:space="preserve">‘Best of 5’ Rule</w:t>
      </w:r>
    </w:p>
    <w:p>
      <w:pPr>
        <w:spacing w:after="160" w:line="300"/>
      </w:pPr>
      <w:r>
        <w:rPr>
          <w:rFonts w:ascii="Calibri" w:cs="Calibri" w:eastAsia="Calibri" w:hAnsi="Calibri"/>
          <w:color w:val="222222"/>
          <w:sz w:val="22"/>
          <w:szCs w:val="22"/>
        </w:rPr>
        <w:t xml:space="preserve">Although students appear for six subjects, only the marks obtained in the top five performing subjects are counted towards the final percentage. This policy gives students some flexibility, particularly if performance in one subject is comparatively weaker than the rest.</w:t>
      </w:r>
    </w:p>
    <w:p>
      <w:pPr>
        <w:pStyle w:val="Heading1"/>
        <w:pBdr>
          <w:bottom w:val="single" w:color="C9962C" w:sz="6" w:space="6"/>
        </w:pBdr>
        <w:spacing w:after="240" w:before="480"/>
      </w:pPr>
      <w:r>
        <w:rPr>
          <w:rFonts w:ascii="Cambria" w:cs="Cambria" w:eastAsia="Cambria" w:hAnsi="Cambria"/>
          <w:b/>
          <w:bCs/>
          <w:color w:val="C9962C"/>
          <w:sz w:val="30"/>
          <w:szCs w:val="30"/>
        </w:rPr>
        <w:t xml:space="preserve">3.  </w:t>
      </w:r>
      <w:r>
        <w:rPr>
          <w:rFonts w:ascii="Cambria" w:cs="Cambria" w:eastAsia="Cambria" w:hAnsi="Cambria"/>
          <w:b/>
          <w:bCs/>
          <w:color w:val="1B2A4A"/>
          <w:sz w:val="30"/>
          <w:szCs w:val="30"/>
        </w:rPr>
        <w:t xml:space="preserve">Subject-wise Exam Pattern</w:t>
      </w:r>
    </w:p>
    <w:p>
      <w:pPr>
        <w:spacing w:after="160" w:line="300"/>
      </w:pPr>
      <w:r>
        <w:rPr>
          <w:rFonts w:ascii="Calibri" w:cs="Calibri" w:eastAsia="Calibri" w:hAnsi="Calibri"/>
          <w:color w:val="222222"/>
          <w:sz w:val="22"/>
          <w:szCs w:val="22"/>
        </w:rPr>
        <w:t xml:space="preserve">While the overall framework of 100 marks and 3-hour duration applies uniformly, each subject has its own internal division of sections and marks. The tables below outline the pattern followed for the major subject groups.</w:t>
      </w:r>
    </w:p>
    <w:p>
      <w:pPr>
        <w:pStyle w:val="Heading2"/>
        <w:spacing w:after="160" w:before="320"/>
      </w:pPr>
      <w:r>
        <w:rPr>
          <w:rFonts w:ascii="Cambria" w:cs="Cambria" w:eastAsia="Cambria" w:hAnsi="Cambria"/>
          <w:b/>
          <w:bCs/>
          <w:color w:val="1B2A4A"/>
          <w:sz w:val="24"/>
          <w:szCs w:val="24"/>
        </w:rPr>
        <w:t xml:space="preserve">3.1  Language Papers — English / Marathi / Hindi / Optional Languages</w:t>
      </w:r>
    </w:p>
    <w:p>
      <w:pPr>
        <w:spacing w:after="160" w:line="300"/>
      </w:pPr>
      <w:r>
        <w:rPr>
          <w:rFonts w:ascii="Calibri" w:cs="Calibri" w:eastAsia="Calibri" w:hAnsi="Calibri"/>
          <w:color w:val="222222"/>
          <w:sz w:val="22"/>
          <w:szCs w:val="22"/>
        </w:rPr>
        <w:t xml:space="preserve">Language papers (the First Language, Second/Third Language, and optional languages chosen from Modern Indian, Classical, or Modern Foreign Languages) generally follow a common structure focused on reading comprehension, grammar, and writing skills.</w:t>
      </w:r>
    </w:p>
    <w:tbl>
      <w:tblPr>
        <w:tblW w:type="dxa" w:w="9350"/>
        <w:tblBorders>
          <w:top w:val="single" w:color="D9DCE3" w:sz="4"/>
          <w:left w:val="single" w:color="D9DCE3" w:sz="4"/>
          <w:bottom w:val="single" w:color="D9DCE3" w:sz="4"/>
          <w:right w:val="single" w:color="D9DCE3" w:sz="4"/>
          <w:insideH w:val="single" w:color="D9DCE3" w:sz="4"/>
          <w:insideV w:val="single" w:color="D9DCE3" w:sz="4"/>
        </w:tblBorders>
      </w:tblPr>
      <w:tblGrid>
        <w:gridCol w:w="3000"/>
        <w:gridCol w:w="4750"/>
        <w:gridCol w:w="1600"/>
      </w:tblGrid>
      <w:tr>
        <w:trPr>
          <w:tblHeader/>
        </w:trPr>
        <w:tc>
          <w:tcPr>
            <w:tcW w:type="dxa" w:w="3000"/>
            <w:shd w:fill="1B2A4A" w:val="clear"/>
            <w:tcMar>
              <w:top w:type="dxa" w:w="100"/>
              <w:left w:type="dxa" w:w="120"/>
              <w:bottom w:type="dxa" w:w="100"/>
              <w:right w:type="dxa" w:w="120"/>
            </w:tcMar>
            <w:vAlign w:val="center"/>
          </w:tcPr>
          <w:p>
            <w:pPr>
              <w:jc w:val="center"/>
            </w:pPr>
            <w:r>
              <w:rPr>
                <w:rFonts w:ascii="Cambria" w:cs="Cambria" w:eastAsia="Cambria" w:hAnsi="Cambria"/>
                <w:b/>
                <w:bCs/>
                <w:color w:val="FFFFFF"/>
                <w:sz w:val="20"/>
                <w:szCs w:val="20"/>
              </w:rPr>
              <w:t xml:space="preserve">Section</w:t>
            </w:r>
          </w:p>
        </w:tc>
        <w:tc>
          <w:tcPr>
            <w:tcW w:type="dxa" w:w="4750"/>
            <w:shd w:fill="1B2A4A" w:val="clear"/>
            <w:tcMar>
              <w:top w:type="dxa" w:w="100"/>
              <w:left w:type="dxa" w:w="120"/>
              <w:bottom w:type="dxa" w:w="100"/>
              <w:right w:type="dxa" w:w="120"/>
            </w:tcMar>
            <w:vAlign w:val="center"/>
          </w:tcPr>
          <w:p>
            <w:pPr>
              <w:jc w:val="center"/>
            </w:pPr>
            <w:r>
              <w:rPr>
                <w:rFonts w:ascii="Cambria" w:cs="Cambria" w:eastAsia="Cambria" w:hAnsi="Cambria"/>
                <w:b/>
                <w:bCs/>
                <w:color w:val="FFFFFF"/>
                <w:sz w:val="20"/>
                <w:szCs w:val="20"/>
              </w:rPr>
              <w:t xml:space="preserve">Area Tested</w:t>
            </w:r>
          </w:p>
        </w:tc>
        <w:tc>
          <w:tcPr>
            <w:tcW w:type="dxa" w:w="1600"/>
            <w:shd w:fill="1B2A4A" w:val="clear"/>
            <w:tcMar>
              <w:top w:type="dxa" w:w="100"/>
              <w:left w:type="dxa" w:w="120"/>
              <w:bottom w:type="dxa" w:w="100"/>
              <w:right w:type="dxa" w:w="120"/>
            </w:tcMar>
            <w:vAlign w:val="center"/>
          </w:tcPr>
          <w:p>
            <w:pPr>
              <w:jc w:val="center"/>
            </w:pPr>
            <w:r>
              <w:rPr>
                <w:rFonts w:ascii="Cambria" w:cs="Cambria" w:eastAsia="Cambria" w:hAnsi="Cambria"/>
                <w:b/>
                <w:bCs/>
                <w:color w:val="FFFFFF"/>
                <w:sz w:val="20"/>
                <w:szCs w:val="20"/>
              </w:rPr>
              <w:t xml:space="preserve">Marks</w:t>
            </w:r>
          </w:p>
        </w:tc>
      </w:tr>
      <w:tr>
        <w:tc>
          <w:tcPr>
            <w:tcW w:type="dxa" w:w="3000"/>
            <w:shd w:fill="FFFFFF" w:val="clear"/>
            <w:tcMar>
              <w:top w:type="dxa" w:w="90"/>
              <w:left w:type="dxa" w:w="120"/>
              <w:bottom w:type="dxa" w:w="90"/>
              <w:right w:type="dxa" w:w="120"/>
            </w:tcMar>
            <w:vAlign w:val="center"/>
          </w:tcPr>
          <w:p>
            <w:pPr>
              <w:jc w:val="left"/>
            </w:pPr>
            <w:r>
              <w:rPr>
                <w:rFonts w:ascii="Calibri" w:cs="Calibri" w:eastAsia="Calibri" w:hAnsi="Calibri"/>
                <w:color w:val="222222"/>
                <w:sz w:val="20"/>
                <w:szCs w:val="20"/>
              </w:rPr>
              <w:t xml:space="preserve">Section 1</w:t>
            </w:r>
          </w:p>
        </w:tc>
        <w:tc>
          <w:tcPr>
            <w:tcW w:type="dxa" w:w="4750"/>
            <w:shd w:fill="FFFFFF" w:val="clear"/>
            <w:tcMar>
              <w:top w:type="dxa" w:w="90"/>
              <w:left w:type="dxa" w:w="120"/>
              <w:bottom w:type="dxa" w:w="90"/>
              <w:right w:type="dxa" w:w="120"/>
            </w:tcMar>
            <w:vAlign w:val="center"/>
          </w:tcPr>
          <w:p>
            <w:pPr>
              <w:jc w:val="center"/>
            </w:pPr>
            <w:r>
              <w:rPr>
                <w:rFonts w:ascii="Calibri" w:cs="Calibri" w:eastAsia="Calibri" w:hAnsi="Calibri"/>
                <w:color w:val="222222"/>
                <w:sz w:val="20"/>
                <w:szCs w:val="20"/>
              </w:rPr>
              <w:t xml:space="preserve">Reading Skills — Textual passages</w:t>
            </w:r>
          </w:p>
        </w:tc>
        <w:tc>
          <w:tcPr>
            <w:tcW w:type="dxa" w:w="1600"/>
            <w:shd w:fill="FFFFFF" w:val="clear"/>
            <w:tcMar>
              <w:top w:type="dxa" w:w="90"/>
              <w:left w:type="dxa" w:w="120"/>
              <w:bottom w:type="dxa" w:w="90"/>
              <w:right w:type="dxa" w:w="120"/>
            </w:tcMar>
            <w:vAlign w:val="center"/>
          </w:tcPr>
          <w:p>
            <w:pPr>
              <w:jc w:val="center"/>
            </w:pPr>
            <w:r>
              <w:rPr>
                <w:rFonts w:ascii="Calibri" w:cs="Calibri" w:eastAsia="Calibri" w:hAnsi="Calibri"/>
                <w:color w:val="222222"/>
                <w:sz w:val="20"/>
                <w:szCs w:val="20"/>
              </w:rPr>
              <w:t xml:space="preserve">20</w:t>
            </w:r>
          </w:p>
        </w:tc>
      </w:tr>
      <w:tr>
        <w:tc>
          <w:tcPr>
            <w:tcW w:type="dxa" w:w="3000"/>
            <w:shd w:fill="F5F6F9" w:val="clear"/>
            <w:tcMar>
              <w:top w:type="dxa" w:w="90"/>
              <w:left w:type="dxa" w:w="120"/>
              <w:bottom w:type="dxa" w:w="90"/>
              <w:right w:type="dxa" w:w="120"/>
            </w:tcMar>
            <w:vAlign w:val="center"/>
          </w:tcPr>
          <w:p>
            <w:pPr>
              <w:jc w:val="left"/>
            </w:pPr>
            <w:r>
              <w:rPr>
                <w:rFonts w:ascii="Calibri" w:cs="Calibri" w:eastAsia="Calibri" w:hAnsi="Calibri"/>
                <w:color w:val="222222"/>
                <w:sz w:val="20"/>
                <w:szCs w:val="20"/>
              </w:rPr>
              <w:t xml:space="preserve">Section 2</w:t>
            </w:r>
          </w:p>
        </w:tc>
        <w:tc>
          <w:tcPr>
            <w:tcW w:type="dxa" w:w="4750"/>
            <w:shd w:fill="F5F6F9" w:val="clear"/>
            <w:tcMar>
              <w:top w:type="dxa" w:w="90"/>
              <w:left w:type="dxa" w:w="120"/>
              <w:bottom w:type="dxa" w:w="90"/>
              <w:right w:type="dxa" w:w="120"/>
            </w:tcMar>
            <w:vAlign w:val="center"/>
          </w:tcPr>
          <w:p>
            <w:pPr>
              <w:jc w:val="center"/>
            </w:pPr>
            <w:r>
              <w:rPr>
                <w:rFonts w:ascii="Calibri" w:cs="Calibri" w:eastAsia="Calibri" w:hAnsi="Calibri"/>
                <w:color w:val="222222"/>
                <w:sz w:val="20"/>
                <w:szCs w:val="20"/>
              </w:rPr>
              <w:t xml:space="preserve">Reading Skills — Non-textual / unseen passages</w:t>
            </w:r>
          </w:p>
        </w:tc>
        <w:tc>
          <w:tcPr>
            <w:tcW w:type="dxa" w:w="1600"/>
            <w:shd w:fill="F5F6F9" w:val="clear"/>
            <w:tcMar>
              <w:top w:type="dxa" w:w="90"/>
              <w:left w:type="dxa" w:w="120"/>
              <w:bottom w:type="dxa" w:w="90"/>
              <w:right w:type="dxa" w:w="120"/>
            </w:tcMar>
            <w:vAlign w:val="center"/>
          </w:tcPr>
          <w:p>
            <w:pPr>
              <w:jc w:val="center"/>
            </w:pPr>
            <w:r>
              <w:rPr>
                <w:rFonts w:ascii="Calibri" w:cs="Calibri" w:eastAsia="Calibri" w:hAnsi="Calibri"/>
                <w:color w:val="222222"/>
                <w:sz w:val="20"/>
                <w:szCs w:val="20"/>
              </w:rPr>
              <w:t xml:space="preserve">20</w:t>
            </w:r>
          </w:p>
        </w:tc>
      </w:tr>
      <w:tr>
        <w:tc>
          <w:tcPr>
            <w:tcW w:type="dxa" w:w="3000"/>
            <w:shd w:fill="FFFFFF" w:val="clear"/>
            <w:tcMar>
              <w:top w:type="dxa" w:w="90"/>
              <w:left w:type="dxa" w:w="120"/>
              <w:bottom w:type="dxa" w:w="90"/>
              <w:right w:type="dxa" w:w="120"/>
            </w:tcMar>
            <w:vAlign w:val="center"/>
          </w:tcPr>
          <w:p>
            <w:pPr>
              <w:jc w:val="left"/>
            </w:pPr>
            <w:r>
              <w:rPr>
                <w:rFonts w:ascii="Calibri" w:cs="Calibri" w:eastAsia="Calibri" w:hAnsi="Calibri"/>
                <w:color w:val="222222"/>
                <w:sz w:val="20"/>
                <w:szCs w:val="20"/>
              </w:rPr>
              <w:t xml:space="preserve">Section 3</w:t>
            </w:r>
          </w:p>
        </w:tc>
        <w:tc>
          <w:tcPr>
            <w:tcW w:type="dxa" w:w="4750"/>
            <w:shd w:fill="FFFFFF" w:val="clear"/>
            <w:tcMar>
              <w:top w:type="dxa" w:w="90"/>
              <w:left w:type="dxa" w:w="120"/>
              <w:bottom w:type="dxa" w:w="90"/>
              <w:right w:type="dxa" w:w="120"/>
            </w:tcMar>
            <w:vAlign w:val="center"/>
          </w:tcPr>
          <w:p>
            <w:pPr>
              <w:jc w:val="center"/>
            </w:pPr>
            <w:r>
              <w:rPr>
                <w:rFonts w:ascii="Calibri" w:cs="Calibri" w:eastAsia="Calibri" w:hAnsi="Calibri"/>
                <w:color w:val="222222"/>
                <w:sz w:val="20"/>
                <w:szCs w:val="20"/>
              </w:rPr>
              <w:t xml:space="preserve">Grammar</w:t>
            </w:r>
          </w:p>
        </w:tc>
        <w:tc>
          <w:tcPr>
            <w:tcW w:type="dxa" w:w="1600"/>
            <w:shd w:fill="FFFFFF" w:val="clear"/>
            <w:tcMar>
              <w:top w:type="dxa" w:w="90"/>
              <w:left w:type="dxa" w:w="120"/>
              <w:bottom w:type="dxa" w:w="90"/>
              <w:right w:type="dxa" w:w="120"/>
            </w:tcMar>
            <w:vAlign w:val="center"/>
          </w:tcPr>
          <w:p>
            <w:pPr>
              <w:jc w:val="center"/>
            </w:pPr>
            <w:r>
              <w:rPr>
                <w:rFonts w:ascii="Calibri" w:cs="Calibri" w:eastAsia="Calibri" w:hAnsi="Calibri"/>
                <w:color w:val="222222"/>
                <w:sz w:val="20"/>
                <w:szCs w:val="20"/>
              </w:rPr>
              <w:t xml:space="preserve">20</w:t>
            </w:r>
          </w:p>
        </w:tc>
      </w:tr>
      <w:tr>
        <w:tc>
          <w:tcPr>
            <w:tcW w:type="dxa" w:w="3000"/>
            <w:shd w:fill="F5F6F9" w:val="clear"/>
            <w:tcMar>
              <w:top w:type="dxa" w:w="90"/>
              <w:left w:type="dxa" w:w="120"/>
              <w:bottom w:type="dxa" w:w="90"/>
              <w:right w:type="dxa" w:w="120"/>
            </w:tcMar>
            <w:vAlign w:val="center"/>
          </w:tcPr>
          <w:p>
            <w:pPr>
              <w:jc w:val="left"/>
            </w:pPr>
            <w:r>
              <w:rPr>
                <w:rFonts w:ascii="Calibri" w:cs="Calibri" w:eastAsia="Calibri" w:hAnsi="Calibri"/>
                <w:color w:val="222222"/>
                <w:sz w:val="20"/>
                <w:szCs w:val="20"/>
              </w:rPr>
              <w:t xml:space="preserve">Section 4</w:t>
            </w:r>
          </w:p>
        </w:tc>
        <w:tc>
          <w:tcPr>
            <w:tcW w:type="dxa" w:w="4750"/>
            <w:shd w:fill="F5F6F9" w:val="clear"/>
            <w:tcMar>
              <w:top w:type="dxa" w:w="90"/>
              <w:left w:type="dxa" w:w="120"/>
              <w:bottom w:type="dxa" w:w="90"/>
              <w:right w:type="dxa" w:w="120"/>
            </w:tcMar>
            <w:vAlign w:val="center"/>
          </w:tcPr>
          <w:p>
            <w:pPr>
              <w:jc w:val="center"/>
            </w:pPr>
            <w:r>
              <w:rPr>
                <w:rFonts w:ascii="Calibri" w:cs="Calibri" w:eastAsia="Calibri" w:hAnsi="Calibri"/>
                <w:color w:val="222222"/>
                <w:sz w:val="20"/>
                <w:szCs w:val="20"/>
              </w:rPr>
              <w:t xml:space="preserve">Writing Skills</w:t>
            </w:r>
          </w:p>
        </w:tc>
        <w:tc>
          <w:tcPr>
            <w:tcW w:type="dxa" w:w="1600"/>
            <w:shd w:fill="F5F6F9" w:val="clear"/>
            <w:tcMar>
              <w:top w:type="dxa" w:w="90"/>
              <w:left w:type="dxa" w:w="120"/>
              <w:bottom w:type="dxa" w:w="90"/>
              <w:right w:type="dxa" w:w="120"/>
            </w:tcMar>
            <w:vAlign w:val="center"/>
          </w:tcPr>
          <w:p>
            <w:pPr>
              <w:jc w:val="center"/>
            </w:pPr>
            <w:r>
              <w:rPr>
                <w:rFonts w:ascii="Calibri" w:cs="Calibri" w:eastAsia="Calibri" w:hAnsi="Calibri"/>
                <w:color w:val="222222"/>
                <w:sz w:val="20"/>
                <w:szCs w:val="20"/>
              </w:rPr>
              <w:t xml:space="preserve">20</w:t>
            </w:r>
          </w:p>
        </w:tc>
      </w:tr>
      <w:tr>
        <w:tc>
          <w:tcPr>
            <w:tcW w:type="dxa" w:w="3000"/>
            <w:shd w:fill="FFFFFF" w:val="clear"/>
            <w:tcMar>
              <w:top w:type="dxa" w:w="90"/>
              <w:left w:type="dxa" w:w="120"/>
              <w:bottom w:type="dxa" w:w="90"/>
              <w:right w:type="dxa" w:w="120"/>
            </w:tcMar>
            <w:vAlign w:val="center"/>
          </w:tcPr>
          <w:p>
            <w:pPr>
              <w:jc w:val="left"/>
            </w:pPr>
            <w:r>
              <w:rPr>
                <w:rFonts w:ascii="Calibri" w:cs="Calibri" w:eastAsia="Calibri" w:hAnsi="Calibri"/>
                <w:color w:val="222222"/>
                <w:sz w:val="20"/>
                <w:szCs w:val="20"/>
              </w:rPr>
              <w:t xml:space="preserve">Written Theory Total</w:t>
            </w:r>
          </w:p>
        </w:tc>
        <w:tc>
          <w:tcPr>
            <w:tcW w:type="dxa" w:w="4750"/>
            <w:shd w:fill="FFFFFF" w:val="clear"/>
            <w:tcMar>
              <w:top w:type="dxa" w:w="90"/>
              <w:left w:type="dxa" w:w="120"/>
              <w:bottom w:type="dxa" w:w="90"/>
              <w:right w:type="dxa" w:w="120"/>
            </w:tcMar>
            <w:vAlign w:val="center"/>
          </w:tcPr>
          <w:p>
            <w:pPr>
              <w:jc w:val="center"/>
            </w:pPr>
            <w:r>
              <w:rPr>
                <w:rFonts w:ascii="Calibri" w:cs="Calibri" w:eastAsia="Calibri" w:hAnsi="Calibri"/>
                <w:color w:val="222222"/>
                <w:sz w:val="20"/>
                <w:szCs w:val="20"/>
              </w:rPr>
              <w:t xml:space="preserve"/>
            </w:r>
          </w:p>
        </w:tc>
        <w:tc>
          <w:tcPr>
            <w:tcW w:type="dxa" w:w="1600"/>
            <w:shd w:fill="FFFFFF" w:val="clear"/>
            <w:tcMar>
              <w:top w:type="dxa" w:w="90"/>
              <w:left w:type="dxa" w:w="120"/>
              <w:bottom w:type="dxa" w:w="90"/>
              <w:right w:type="dxa" w:w="120"/>
            </w:tcMar>
            <w:vAlign w:val="center"/>
          </w:tcPr>
          <w:p>
            <w:pPr>
              <w:jc w:val="center"/>
            </w:pPr>
            <w:r>
              <w:rPr>
                <w:rFonts w:ascii="Calibri" w:cs="Calibri" w:eastAsia="Calibri" w:hAnsi="Calibri"/>
                <w:color w:val="222222"/>
                <w:sz w:val="20"/>
                <w:szCs w:val="20"/>
              </w:rPr>
              <w:t xml:space="preserve">80</w:t>
            </w:r>
          </w:p>
        </w:tc>
      </w:tr>
      <w:tr>
        <w:tc>
          <w:tcPr>
            <w:tcW w:type="dxa" w:w="3000"/>
            <w:shd w:fill="F5F6F9" w:val="clear"/>
            <w:tcMar>
              <w:top w:type="dxa" w:w="90"/>
              <w:left w:type="dxa" w:w="120"/>
              <w:bottom w:type="dxa" w:w="90"/>
              <w:right w:type="dxa" w:w="120"/>
            </w:tcMar>
            <w:vAlign w:val="center"/>
          </w:tcPr>
          <w:p>
            <w:pPr>
              <w:jc w:val="left"/>
            </w:pPr>
            <w:r>
              <w:rPr>
                <w:rFonts w:ascii="Calibri" w:cs="Calibri" w:eastAsia="Calibri" w:hAnsi="Calibri"/>
                <w:color w:val="222222"/>
                <w:sz w:val="20"/>
                <w:szCs w:val="20"/>
              </w:rPr>
              <w:t xml:space="preserve">Internal Assessment / Oral</w:t>
            </w:r>
          </w:p>
        </w:tc>
        <w:tc>
          <w:tcPr>
            <w:tcW w:type="dxa" w:w="4750"/>
            <w:shd w:fill="F5F6F9" w:val="clear"/>
            <w:tcMar>
              <w:top w:type="dxa" w:w="90"/>
              <w:left w:type="dxa" w:w="120"/>
              <w:bottom w:type="dxa" w:w="90"/>
              <w:right w:type="dxa" w:w="120"/>
            </w:tcMar>
            <w:vAlign w:val="center"/>
          </w:tcPr>
          <w:p>
            <w:pPr>
              <w:jc w:val="center"/>
            </w:pPr>
            <w:r>
              <w:rPr>
                <w:rFonts w:ascii="Calibri" w:cs="Calibri" w:eastAsia="Calibri" w:hAnsi="Calibri"/>
                <w:color w:val="222222"/>
                <w:sz w:val="20"/>
                <w:szCs w:val="20"/>
              </w:rPr>
              <w:t xml:space="preserve">Oral test and internal evaluation</w:t>
            </w:r>
          </w:p>
        </w:tc>
        <w:tc>
          <w:tcPr>
            <w:tcW w:type="dxa" w:w="1600"/>
            <w:shd w:fill="F5F6F9" w:val="clear"/>
            <w:tcMar>
              <w:top w:type="dxa" w:w="90"/>
              <w:left w:type="dxa" w:w="120"/>
              <w:bottom w:type="dxa" w:w="90"/>
              <w:right w:type="dxa" w:w="120"/>
            </w:tcMar>
            <w:vAlign w:val="center"/>
          </w:tcPr>
          <w:p>
            <w:pPr>
              <w:jc w:val="center"/>
            </w:pPr>
            <w:r>
              <w:rPr>
                <w:rFonts w:ascii="Calibri" w:cs="Calibri" w:eastAsia="Calibri" w:hAnsi="Calibri"/>
                <w:color w:val="222222"/>
                <w:sz w:val="20"/>
                <w:szCs w:val="20"/>
              </w:rPr>
              <w:t xml:space="preserve">20</w:t>
            </w:r>
          </w:p>
        </w:tc>
      </w:tr>
      <w:tr>
        <w:tc>
          <w:tcPr>
            <w:tcW w:type="dxa" w:w="3000"/>
            <w:shd w:fill="FFFFFF" w:val="clear"/>
            <w:tcMar>
              <w:top w:type="dxa" w:w="90"/>
              <w:left w:type="dxa" w:w="120"/>
              <w:bottom w:type="dxa" w:w="90"/>
              <w:right w:type="dxa" w:w="120"/>
            </w:tcMar>
            <w:vAlign w:val="center"/>
          </w:tcPr>
          <w:p>
            <w:pPr>
              <w:jc w:val="left"/>
            </w:pPr>
            <w:r>
              <w:rPr>
                <w:rFonts w:ascii="Calibri" w:cs="Calibri" w:eastAsia="Calibri" w:hAnsi="Calibri"/>
                <w:color w:val="222222"/>
                <w:sz w:val="20"/>
                <w:szCs w:val="20"/>
              </w:rPr>
              <w:t xml:space="preserve">Grand Total</w:t>
            </w:r>
          </w:p>
        </w:tc>
        <w:tc>
          <w:tcPr>
            <w:tcW w:type="dxa" w:w="4750"/>
            <w:shd w:fill="FFFFFF" w:val="clear"/>
            <w:tcMar>
              <w:top w:type="dxa" w:w="90"/>
              <w:left w:type="dxa" w:w="120"/>
              <w:bottom w:type="dxa" w:w="90"/>
              <w:right w:type="dxa" w:w="120"/>
            </w:tcMar>
            <w:vAlign w:val="center"/>
          </w:tcPr>
          <w:p>
            <w:pPr>
              <w:jc w:val="center"/>
            </w:pPr>
            <w:r>
              <w:rPr>
                <w:rFonts w:ascii="Calibri" w:cs="Calibri" w:eastAsia="Calibri" w:hAnsi="Calibri"/>
                <w:color w:val="222222"/>
                <w:sz w:val="20"/>
                <w:szCs w:val="20"/>
              </w:rPr>
              <w:t xml:space="preserve"/>
            </w:r>
          </w:p>
        </w:tc>
        <w:tc>
          <w:tcPr>
            <w:tcW w:type="dxa" w:w="1600"/>
            <w:shd w:fill="FFFFFF" w:val="clear"/>
            <w:tcMar>
              <w:top w:type="dxa" w:w="90"/>
              <w:left w:type="dxa" w:w="120"/>
              <w:bottom w:type="dxa" w:w="90"/>
              <w:right w:type="dxa" w:w="120"/>
            </w:tcMar>
            <w:vAlign w:val="center"/>
          </w:tcPr>
          <w:p>
            <w:pPr>
              <w:jc w:val="center"/>
            </w:pPr>
            <w:r>
              <w:rPr>
                <w:rFonts w:ascii="Calibri" w:cs="Calibri" w:eastAsia="Calibri" w:hAnsi="Calibri"/>
                <w:color w:val="222222"/>
                <w:sz w:val="20"/>
                <w:szCs w:val="20"/>
              </w:rPr>
              <w:t xml:space="preserve">100</w:t>
            </w:r>
          </w:p>
        </w:tc>
      </w:tr>
    </w:tbl>
    <w:p>
      <w:pPr>
        <w:spacing w:before="200"/>
      </w:pPr>
    </w:p>
    <w:p>
      <w:pPr>
        <w:pStyle w:val="Heading2"/>
        <w:spacing w:after="160" w:before="320"/>
      </w:pPr>
      <w:r>
        <w:rPr>
          <w:rFonts w:ascii="Cambria" w:cs="Cambria" w:eastAsia="Cambria" w:hAnsi="Cambria"/>
          <w:b/>
          <w:bCs/>
          <w:color w:val="1B2A4A"/>
          <w:sz w:val="24"/>
          <w:szCs w:val="24"/>
        </w:rPr>
        <w:t xml:space="preserve">3.2  Mathematics</w:t>
      </w:r>
    </w:p>
    <w:p>
      <w:pPr>
        <w:spacing w:after="160" w:line="300"/>
      </w:pPr>
      <w:r>
        <w:rPr>
          <w:rFonts w:ascii="Calibri" w:cs="Calibri" w:eastAsia="Calibri" w:hAnsi="Calibri"/>
          <w:color w:val="222222"/>
          <w:sz w:val="22"/>
          <w:szCs w:val="22"/>
        </w:rPr>
        <w:t xml:space="preserve">The Mathematics paper is divided into two equally weighted parts — Algebra and Geometry — each assessed through a separate section within the same question paper.</w:t>
      </w:r>
    </w:p>
    <w:tbl>
      <w:tblPr>
        <w:tblW w:type="dxa" w:w="9350"/>
        <w:tblBorders>
          <w:top w:val="single" w:color="D9DCE3" w:sz="4"/>
          <w:left w:val="single" w:color="D9DCE3" w:sz="4"/>
          <w:bottom w:val="single" w:color="D9DCE3" w:sz="4"/>
          <w:right w:val="single" w:color="D9DCE3" w:sz="4"/>
          <w:insideH w:val="single" w:color="D9DCE3" w:sz="4"/>
          <w:insideV w:val="single" w:color="D9DCE3" w:sz="4"/>
        </w:tblBorders>
      </w:tblPr>
      <w:tblGrid>
        <w:gridCol w:w="3000"/>
        <w:gridCol w:w="4750"/>
        <w:gridCol w:w="1600"/>
      </w:tblGrid>
      <w:tr>
        <w:trPr>
          <w:tblHeader/>
        </w:trPr>
        <w:tc>
          <w:tcPr>
            <w:tcW w:type="dxa" w:w="3000"/>
            <w:shd w:fill="1B2A4A" w:val="clear"/>
            <w:tcMar>
              <w:top w:type="dxa" w:w="100"/>
              <w:left w:type="dxa" w:w="120"/>
              <w:bottom w:type="dxa" w:w="100"/>
              <w:right w:type="dxa" w:w="120"/>
            </w:tcMar>
            <w:vAlign w:val="center"/>
          </w:tcPr>
          <w:p>
            <w:pPr>
              <w:jc w:val="center"/>
            </w:pPr>
            <w:r>
              <w:rPr>
                <w:rFonts w:ascii="Cambria" w:cs="Cambria" w:eastAsia="Cambria" w:hAnsi="Cambria"/>
                <w:b/>
                <w:bCs/>
                <w:color w:val="FFFFFF"/>
                <w:sz w:val="20"/>
                <w:szCs w:val="20"/>
              </w:rPr>
              <w:t xml:space="preserve">Section</w:t>
            </w:r>
          </w:p>
        </w:tc>
        <w:tc>
          <w:tcPr>
            <w:tcW w:type="dxa" w:w="4750"/>
            <w:shd w:fill="1B2A4A" w:val="clear"/>
            <w:tcMar>
              <w:top w:type="dxa" w:w="100"/>
              <w:left w:type="dxa" w:w="120"/>
              <w:bottom w:type="dxa" w:w="100"/>
              <w:right w:type="dxa" w:w="120"/>
            </w:tcMar>
            <w:vAlign w:val="center"/>
          </w:tcPr>
          <w:p>
            <w:pPr>
              <w:jc w:val="center"/>
            </w:pPr>
            <w:r>
              <w:rPr>
                <w:rFonts w:ascii="Cambria" w:cs="Cambria" w:eastAsia="Cambria" w:hAnsi="Cambria"/>
                <w:b/>
                <w:bCs/>
                <w:color w:val="FFFFFF"/>
                <w:sz w:val="20"/>
                <w:szCs w:val="20"/>
              </w:rPr>
              <w:t xml:space="preserve">Area Tested</w:t>
            </w:r>
          </w:p>
        </w:tc>
        <w:tc>
          <w:tcPr>
            <w:tcW w:type="dxa" w:w="1600"/>
            <w:shd w:fill="1B2A4A" w:val="clear"/>
            <w:tcMar>
              <w:top w:type="dxa" w:w="100"/>
              <w:left w:type="dxa" w:w="120"/>
              <w:bottom w:type="dxa" w:w="100"/>
              <w:right w:type="dxa" w:w="120"/>
            </w:tcMar>
            <w:vAlign w:val="center"/>
          </w:tcPr>
          <w:p>
            <w:pPr>
              <w:jc w:val="center"/>
            </w:pPr>
            <w:r>
              <w:rPr>
                <w:rFonts w:ascii="Cambria" w:cs="Cambria" w:eastAsia="Cambria" w:hAnsi="Cambria"/>
                <w:b/>
                <w:bCs/>
                <w:color w:val="FFFFFF"/>
                <w:sz w:val="20"/>
                <w:szCs w:val="20"/>
              </w:rPr>
              <w:t xml:space="preserve">Marks</w:t>
            </w:r>
          </w:p>
        </w:tc>
      </w:tr>
      <w:tr>
        <w:tc>
          <w:tcPr>
            <w:tcW w:type="dxa" w:w="3000"/>
            <w:shd w:fill="FFFFFF" w:val="clear"/>
            <w:tcMar>
              <w:top w:type="dxa" w:w="90"/>
              <w:left w:type="dxa" w:w="120"/>
              <w:bottom w:type="dxa" w:w="90"/>
              <w:right w:type="dxa" w:w="120"/>
            </w:tcMar>
            <w:vAlign w:val="center"/>
          </w:tcPr>
          <w:p>
            <w:pPr>
              <w:jc w:val="left"/>
            </w:pPr>
            <w:r>
              <w:rPr>
                <w:rFonts w:ascii="Calibri" w:cs="Calibri" w:eastAsia="Calibri" w:hAnsi="Calibri"/>
                <w:color w:val="222222"/>
                <w:sz w:val="20"/>
                <w:szCs w:val="20"/>
              </w:rPr>
              <w:t xml:space="preserve">Part I</w:t>
            </w:r>
          </w:p>
        </w:tc>
        <w:tc>
          <w:tcPr>
            <w:tcW w:type="dxa" w:w="4750"/>
            <w:shd w:fill="FFFFFF" w:val="clear"/>
            <w:tcMar>
              <w:top w:type="dxa" w:w="90"/>
              <w:left w:type="dxa" w:w="120"/>
              <w:bottom w:type="dxa" w:w="90"/>
              <w:right w:type="dxa" w:w="120"/>
            </w:tcMar>
            <w:vAlign w:val="center"/>
          </w:tcPr>
          <w:p>
            <w:pPr>
              <w:jc w:val="center"/>
            </w:pPr>
            <w:r>
              <w:rPr>
                <w:rFonts w:ascii="Calibri" w:cs="Calibri" w:eastAsia="Calibri" w:hAnsi="Calibri"/>
                <w:color w:val="222222"/>
                <w:sz w:val="20"/>
                <w:szCs w:val="20"/>
              </w:rPr>
              <w:t xml:space="preserve">Algebra</w:t>
            </w:r>
          </w:p>
        </w:tc>
        <w:tc>
          <w:tcPr>
            <w:tcW w:type="dxa" w:w="1600"/>
            <w:shd w:fill="FFFFFF" w:val="clear"/>
            <w:tcMar>
              <w:top w:type="dxa" w:w="90"/>
              <w:left w:type="dxa" w:w="120"/>
              <w:bottom w:type="dxa" w:w="90"/>
              <w:right w:type="dxa" w:w="120"/>
            </w:tcMar>
            <w:vAlign w:val="center"/>
          </w:tcPr>
          <w:p>
            <w:pPr>
              <w:jc w:val="center"/>
            </w:pPr>
            <w:r>
              <w:rPr>
                <w:rFonts w:ascii="Calibri" w:cs="Calibri" w:eastAsia="Calibri" w:hAnsi="Calibri"/>
                <w:color w:val="222222"/>
                <w:sz w:val="20"/>
                <w:szCs w:val="20"/>
              </w:rPr>
              <w:t xml:space="preserve">40</w:t>
            </w:r>
          </w:p>
        </w:tc>
      </w:tr>
      <w:tr>
        <w:tc>
          <w:tcPr>
            <w:tcW w:type="dxa" w:w="3000"/>
            <w:shd w:fill="F5F6F9" w:val="clear"/>
            <w:tcMar>
              <w:top w:type="dxa" w:w="90"/>
              <w:left w:type="dxa" w:w="120"/>
              <w:bottom w:type="dxa" w:w="90"/>
              <w:right w:type="dxa" w:w="120"/>
            </w:tcMar>
            <w:vAlign w:val="center"/>
          </w:tcPr>
          <w:p>
            <w:pPr>
              <w:jc w:val="left"/>
            </w:pPr>
            <w:r>
              <w:rPr>
                <w:rFonts w:ascii="Calibri" w:cs="Calibri" w:eastAsia="Calibri" w:hAnsi="Calibri"/>
                <w:color w:val="222222"/>
                <w:sz w:val="20"/>
                <w:szCs w:val="20"/>
              </w:rPr>
              <w:t xml:space="preserve">Part II</w:t>
            </w:r>
          </w:p>
        </w:tc>
        <w:tc>
          <w:tcPr>
            <w:tcW w:type="dxa" w:w="4750"/>
            <w:shd w:fill="F5F6F9" w:val="clear"/>
            <w:tcMar>
              <w:top w:type="dxa" w:w="90"/>
              <w:left w:type="dxa" w:w="120"/>
              <w:bottom w:type="dxa" w:w="90"/>
              <w:right w:type="dxa" w:w="120"/>
            </w:tcMar>
            <w:vAlign w:val="center"/>
          </w:tcPr>
          <w:p>
            <w:pPr>
              <w:jc w:val="center"/>
            </w:pPr>
            <w:r>
              <w:rPr>
                <w:rFonts w:ascii="Calibri" w:cs="Calibri" w:eastAsia="Calibri" w:hAnsi="Calibri"/>
                <w:color w:val="222222"/>
                <w:sz w:val="20"/>
                <w:szCs w:val="20"/>
              </w:rPr>
              <w:t xml:space="preserve">Geometry</w:t>
            </w:r>
          </w:p>
        </w:tc>
        <w:tc>
          <w:tcPr>
            <w:tcW w:type="dxa" w:w="1600"/>
            <w:shd w:fill="F5F6F9" w:val="clear"/>
            <w:tcMar>
              <w:top w:type="dxa" w:w="90"/>
              <w:left w:type="dxa" w:w="120"/>
              <w:bottom w:type="dxa" w:w="90"/>
              <w:right w:type="dxa" w:w="120"/>
            </w:tcMar>
            <w:vAlign w:val="center"/>
          </w:tcPr>
          <w:p>
            <w:pPr>
              <w:jc w:val="center"/>
            </w:pPr>
            <w:r>
              <w:rPr>
                <w:rFonts w:ascii="Calibri" w:cs="Calibri" w:eastAsia="Calibri" w:hAnsi="Calibri"/>
                <w:color w:val="222222"/>
                <w:sz w:val="20"/>
                <w:szCs w:val="20"/>
              </w:rPr>
              <w:t xml:space="preserve">40</w:t>
            </w:r>
          </w:p>
        </w:tc>
      </w:tr>
      <w:tr>
        <w:tc>
          <w:tcPr>
            <w:tcW w:type="dxa" w:w="3000"/>
            <w:shd w:fill="FFFFFF" w:val="clear"/>
            <w:tcMar>
              <w:top w:type="dxa" w:w="90"/>
              <w:left w:type="dxa" w:w="120"/>
              <w:bottom w:type="dxa" w:w="90"/>
              <w:right w:type="dxa" w:w="120"/>
            </w:tcMar>
            <w:vAlign w:val="center"/>
          </w:tcPr>
          <w:p>
            <w:pPr>
              <w:jc w:val="left"/>
            </w:pPr>
            <w:r>
              <w:rPr>
                <w:rFonts w:ascii="Calibri" w:cs="Calibri" w:eastAsia="Calibri" w:hAnsi="Calibri"/>
                <w:color w:val="222222"/>
                <w:sz w:val="20"/>
                <w:szCs w:val="20"/>
              </w:rPr>
              <w:t xml:space="preserve">Written Theory Total</w:t>
            </w:r>
          </w:p>
        </w:tc>
        <w:tc>
          <w:tcPr>
            <w:tcW w:type="dxa" w:w="4750"/>
            <w:shd w:fill="FFFFFF" w:val="clear"/>
            <w:tcMar>
              <w:top w:type="dxa" w:w="90"/>
              <w:left w:type="dxa" w:w="120"/>
              <w:bottom w:type="dxa" w:w="90"/>
              <w:right w:type="dxa" w:w="120"/>
            </w:tcMar>
            <w:vAlign w:val="center"/>
          </w:tcPr>
          <w:p>
            <w:pPr>
              <w:jc w:val="center"/>
            </w:pPr>
            <w:r>
              <w:rPr>
                <w:rFonts w:ascii="Calibri" w:cs="Calibri" w:eastAsia="Calibri" w:hAnsi="Calibri"/>
                <w:color w:val="222222"/>
                <w:sz w:val="20"/>
                <w:szCs w:val="20"/>
              </w:rPr>
              <w:t xml:space="preserve"/>
            </w:r>
          </w:p>
        </w:tc>
        <w:tc>
          <w:tcPr>
            <w:tcW w:type="dxa" w:w="1600"/>
            <w:shd w:fill="FFFFFF" w:val="clear"/>
            <w:tcMar>
              <w:top w:type="dxa" w:w="90"/>
              <w:left w:type="dxa" w:w="120"/>
              <w:bottom w:type="dxa" w:w="90"/>
              <w:right w:type="dxa" w:w="120"/>
            </w:tcMar>
            <w:vAlign w:val="center"/>
          </w:tcPr>
          <w:p>
            <w:pPr>
              <w:jc w:val="center"/>
            </w:pPr>
            <w:r>
              <w:rPr>
                <w:rFonts w:ascii="Calibri" w:cs="Calibri" w:eastAsia="Calibri" w:hAnsi="Calibri"/>
                <w:color w:val="222222"/>
                <w:sz w:val="20"/>
                <w:szCs w:val="20"/>
              </w:rPr>
              <w:t xml:space="preserve">80</w:t>
            </w:r>
          </w:p>
        </w:tc>
      </w:tr>
      <w:tr>
        <w:tc>
          <w:tcPr>
            <w:tcW w:type="dxa" w:w="3000"/>
            <w:shd w:fill="F5F6F9" w:val="clear"/>
            <w:tcMar>
              <w:top w:type="dxa" w:w="90"/>
              <w:left w:type="dxa" w:w="120"/>
              <w:bottom w:type="dxa" w:w="90"/>
              <w:right w:type="dxa" w:w="120"/>
            </w:tcMar>
            <w:vAlign w:val="center"/>
          </w:tcPr>
          <w:p>
            <w:pPr>
              <w:jc w:val="left"/>
            </w:pPr>
            <w:r>
              <w:rPr>
                <w:rFonts w:ascii="Calibri" w:cs="Calibri" w:eastAsia="Calibri" w:hAnsi="Calibri"/>
                <w:color w:val="222222"/>
                <w:sz w:val="20"/>
                <w:szCs w:val="20"/>
              </w:rPr>
              <w:t xml:space="preserve">Internal Assessment</w:t>
            </w:r>
          </w:p>
        </w:tc>
        <w:tc>
          <w:tcPr>
            <w:tcW w:type="dxa" w:w="4750"/>
            <w:shd w:fill="F5F6F9" w:val="clear"/>
            <w:tcMar>
              <w:top w:type="dxa" w:w="90"/>
              <w:left w:type="dxa" w:w="120"/>
              <w:bottom w:type="dxa" w:w="90"/>
              <w:right w:type="dxa" w:w="120"/>
            </w:tcMar>
            <w:vAlign w:val="center"/>
          </w:tcPr>
          <w:p>
            <w:pPr>
              <w:jc w:val="center"/>
            </w:pPr>
            <w:r>
              <w:rPr>
                <w:rFonts w:ascii="Calibri" w:cs="Calibri" w:eastAsia="Calibri" w:hAnsi="Calibri"/>
                <w:color w:val="222222"/>
                <w:sz w:val="20"/>
                <w:szCs w:val="20"/>
              </w:rPr>
              <w:t xml:space="preserve">Unit tests, assignments, practical/project work</w:t>
            </w:r>
          </w:p>
        </w:tc>
        <w:tc>
          <w:tcPr>
            <w:tcW w:type="dxa" w:w="1600"/>
            <w:shd w:fill="F5F6F9" w:val="clear"/>
            <w:tcMar>
              <w:top w:type="dxa" w:w="90"/>
              <w:left w:type="dxa" w:w="120"/>
              <w:bottom w:type="dxa" w:w="90"/>
              <w:right w:type="dxa" w:w="120"/>
            </w:tcMar>
            <w:vAlign w:val="center"/>
          </w:tcPr>
          <w:p>
            <w:pPr>
              <w:jc w:val="center"/>
            </w:pPr>
            <w:r>
              <w:rPr>
                <w:rFonts w:ascii="Calibri" w:cs="Calibri" w:eastAsia="Calibri" w:hAnsi="Calibri"/>
                <w:color w:val="222222"/>
                <w:sz w:val="20"/>
                <w:szCs w:val="20"/>
              </w:rPr>
              <w:t xml:space="preserve">20</w:t>
            </w:r>
          </w:p>
        </w:tc>
      </w:tr>
      <w:tr>
        <w:tc>
          <w:tcPr>
            <w:tcW w:type="dxa" w:w="3000"/>
            <w:shd w:fill="FFFFFF" w:val="clear"/>
            <w:tcMar>
              <w:top w:type="dxa" w:w="90"/>
              <w:left w:type="dxa" w:w="120"/>
              <w:bottom w:type="dxa" w:w="90"/>
              <w:right w:type="dxa" w:w="120"/>
            </w:tcMar>
            <w:vAlign w:val="center"/>
          </w:tcPr>
          <w:p>
            <w:pPr>
              <w:jc w:val="left"/>
            </w:pPr>
            <w:r>
              <w:rPr>
                <w:rFonts w:ascii="Calibri" w:cs="Calibri" w:eastAsia="Calibri" w:hAnsi="Calibri"/>
                <w:color w:val="222222"/>
                <w:sz w:val="20"/>
                <w:szCs w:val="20"/>
              </w:rPr>
              <w:t xml:space="preserve">Grand Total</w:t>
            </w:r>
          </w:p>
        </w:tc>
        <w:tc>
          <w:tcPr>
            <w:tcW w:type="dxa" w:w="4750"/>
            <w:shd w:fill="FFFFFF" w:val="clear"/>
            <w:tcMar>
              <w:top w:type="dxa" w:w="90"/>
              <w:left w:type="dxa" w:w="120"/>
              <w:bottom w:type="dxa" w:w="90"/>
              <w:right w:type="dxa" w:w="120"/>
            </w:tcMar>
            <w:vAlign w:val="center"/>
          </w:tcPr>
          <w:p>
            <w:pPr>
              <w:jc w:val="center"/>
            </w:pPr>
            <w:r>
              <w:rPr>
                <w:rFonts w:ascii="Calibri" w:cs="Calibri" w:eastAsia="Calibri" w:hAnsi="Calibri"/>
                <w:color w:val="222222"/>
                <w:sz w:val="20"/>
                <w:szCs w:val="20"/>
              </w:rPr>
              <w:t xml:space="preserve"/>
            </w:r>
          </w:p>
        </w:tc>
        <w:tc>
          <w:tcPr>
            <w:tcW w:type="dxa" w:w="1600"/>
            <w:shd w:fill="FFFFFF" w:val="clear"/>
            <w:tcMar>
              <w:top w:type="dxa" w:w="90"/>
              <w:left w:type="dxa" w:w="120"/>
              <w:bottom w:type="dxa" w:w="90"/>
              <w:right w:type="dxa" w:w="120"/>
            </w:tcMar>
            <w:vAlign w:val="center"/>
          </w:tcPr>
          <w:p>
            <w:pPr>
              <w:jc w:val="center"/>
            </w:pPr>
            <w:r>
              <w:rPr>
                <w:rFonts w:ascii="Calibri" w:cs="Calibri" w:eastAsia="Calibri" w:hAnsi="Calibri"/>
                <w:color w:val="222222"/>
                <w:sz w:val="20"/>
                <w:szCs w:val="20"/>
              </w:rPr>
              <w:t xml:space="preserve">100</w:t>
            </w:r>
          </w:p>
        </w:tc>
      </w:tr>
    </w:tbl>
    <w:p>
      <w:pPr>
        <w:spacing w:before="200"/>
      </w:pPr>
    </w:p>
    <w:p>
      <w:pPr>
        <w:pStyle w:val="Heading2"/>
        <w:spacing w:after="160" w:before="320"/>
      </w:pPr>
      <w:r>
        <w:rPr>
          <w:rFonts w:ascii="Cambria" w:cs="Cambria" w:eastAsia="Cambria" w:hAnsi="Cambria"/>
          <w:b/>
          <w:bCs/>
          <w:color w:val="1B2A4A"/>
          <w:sz w:val="24"/>
          <w:szCs w:val="24"/>
        </w:rPr>
        <w:t xml:space="preserve">3.3  Science &amp; Technology</w:t>
      </w:r>
    </w:p>
    <w:p>
      <w:pPr>
        <w:spacing w:after="160" w:line="300"/>
      </w:pPr>
      <w:r>
        <w:rPr>
          <w:rFonts w:ascii="Calibri" w:cs="Calibri" w:eastAsia="Calibri" w:hAnsi="Calibri"/>
          <w:color w:val="222222"/>
          <w:sz w:val="22"/>
          <w:szCs w:val="22"/>
        </w:rPr>
        <w:t xml:space="preserve">The Science &amp; Technology paper covers Physics, Chemistry, and Biology concepts, divided into two parts of equal weightage.</w:t>
      </w:r>
    </w:p>
    <w:tbl>
      <w:tblPr>
        <w:tblW w:type="dxa" w:w="9350"/>
        <w:tblBorders>
          <w:top w:val="single" w:color="D9DCE3" w:sz="4"/>
          <w:left w:val="single" w:color="D9DCE3" w:sz="4"/>
          <w:bottom w:val="single" w:color="D9DCE3" w:sz="4"/>
          <w:right w:val="single" w:color="D9DCE3" w:sz="4"/>
          <w:insideH w:val="single" w:color="D9DCE3" w:sz="4"/>
          <w:insideV w:val="single" w:color="D9DCE3" w:sz="4"/>
        </w:tblBorders>
      </w:tblPr>
      <w:tblGrid>
        <w:gridCol w:w="3000"/>
        <w:gridCol w:w="4750"/>
        <w:gridCol w:w="1600"/>
      </w:tblGrid>
      <w:tr>
        <w:trPr>
          <w:tblHeader/>
        </w:trPr>
        <w:tc>
          <w:tcPr>
            <w:tcW w:type="dxa" w:w="3000"/>
            <w:shd w:fill="1B2A4A" w:val="clear"/>
            <w:tcMar>
              <w:top w:type="dxa" w:w="100"/>
              <w:left w:type="dxa" w:w="120"/>
              <w:bottom w:type="dxa" w:w="100"/>
              <w:right w:type="dxa" w:w="120"/>
            </w:tcMar>
            <w:vAlign w:val="center"/>
          </w:tcPr>
          <w:p>
            <w:pPr>
              <w:jc w:val="center"/>
            </w:pPr>
            <w:r>
              <w:rPr>
                <w:rFonts w:ascii="Cambria" w:cs="Cambria" w:eastAsia="Cambria" w:hAnsi="Cambria"/>
                <w:b/>
                <w:bCs/>
                <w:color w:val="FFFFFF"/>
                <w:sz w:val="20"/>
                <w:szCs w:val="20"/>
              </w:rPr>
              <w:t xml:space="preserve">Section</w:t>
            </w:r>
          </w:p>
        </w:tc>
        <w:tc>
          <w:tcPr>
            <w:tcW w:type="dxa" w:w="4750"/>
            <w:shd w:fill="1B2A4A" w:val="clear"/>
            <w:tcMar>
              <w:top w:type="dxa" w:w="100"/>
              <w:left w:type="dxa" w:w="120"/>
              <w:bottom w:type="dxa" w:w="100"/>
              <w:right w:type="dxa" w:w="120"/>
            </w:tcMar>
            <w:vAlign w:val="center"/>
          </w:tcPr>
          <w:p>
            <w:pPr>
              <w:jc w:val="center"/>
            </w:pPr>
            <w:r>
              <w:rPr>
                <w:rFonts w:ascii="Cambria" w:cs="Cambria" w:eastAsia="Cambria" w:hAnsi="Cambria"/>
                <w:b/>
                <w:bCs/>
                <w:color w:val="FFFFFF"/>
                <w:sz w:val="20"/>
                <w:szCs w:val="20"/>
              </w:rPr>
              <w:t xml:space="preserve">Area Tested</w:t>
            </w:r>
          </w:p>
        </w:tc>
        <w:tc>
          <w:tcPr>
            <w:tcW w:type="dxa" w:w="1600"/>
            <w:shd w:fill="1B2A4A" w:val="clear"/>
            <w:tcMar>
              <w:top w:type="dxa" w:w="100"/>
              <w:left w:type="dxa" w:w="120"/>
              <w:bottom w:type="dxa" w:w="100"/>
              <w:right w:type="dxa" w:w="120"/>
            </w:tcMar>
            <w:vAlign w:val="center"/>
          </w:tcPr>
          <w:p>
            <w:pPr>
              <w:jc w:val="center"/>
            </w:pPr>
            <w:r>
              <w:rPr>
                <w:rFonts w:ascii="Cambria" w:cs="Cambria" w:eastAsia="Cambria" w:hAnsi="Cambria"/>
                <w:b/>
                <w:bCs/>
                <w:color w:val="FFFFFF"/>
                <w:sz w:val="20"/>
                <w:szCs w:val="20"/>
              </w:rPr>
              <w:t xml:space="preserve">Marks</w:t>
            </w:r>
          </w:p>
        </w:tc>
      </w:tr>
      <w:tr>
        <w:tc>
          <w:tcPr>
            <w:tcW w:type="dxa" w:w="3000"/>
            <w:shd w:fill="FFFFFF" w:val="clear"/>
            <w:tcMar>
              <w:top w:type="dxa" w:w="90"/>
              <w:left w:type="dxa" w:w="120"/>
              <w:bottom w:type="dxa" w:w="90"/>
              <w:right w:type="dxa" w:w="120"/>
            </w:tcMar>
            <w:vAlign w:val="center"/>
          </w:tcPr>
          <w:p>
            <w:pPr>
              <w:jc w:val="left"/>
            </w:pPr>
            <w:r>
              <w:rPr>
                <w:rFonts w:ascii="Calibri" w:cs="Calibri" w:eastAsia="Calibri" w:hAnsi="Calibri"/>
                <w:color w:val="222222"/>
                <w:sz w:val="20"/>
                <w:szCs w:val="20"/>
              </w:rPr>
              <w:t xml:space="preserve">Part I</w:t>
            </w:r>
          </w:p>
        </w:tc>
        <w:tc>
          <w:tcPr>
            <w:tcW w:type="dxa" w:w="4750"/>
            <w:shd w:fill="FFFFFF" w:val="clear"/>
            <w:tcMar>
              <w:top w:type="dxa" w:w="90"/>
              <w:left w:type="dxa" w:w="120"/>
              <w:bottom w:type="dxa" w:w="90"/>
              <w:right w:type="dxa" w:w="120"/>
            </w:tcMar>
            <w:vAlign w:val="center"/>
          </w:tcPr>
          <w:p>
            <w:pPr>
              <w:jc w:val="center"/>
            </w:pPr>
            <w:r>
              <w:rPr>
                <w:rFonts w:ascii="Calibri" w:cs="Calibri" w:eastAsia="Calibri" w:hAnsi="Calibri"/>
                <w:color w:val="222222"/>
                <w:sz w:val="20"/>
                <w:szCs w:val="20"/>
              </w:rPr>
              <w:t xml:space="preserve">Science &amp; Technology — Part 1</w:t>
            </w:r>
          </w:p>
        </w:tc>
        <w:tc>
          <w:tcPr>
            <w:tcW w:type="dxa" w:w="1600"/>
            <w:shd w:fill="FFFFFF" w:val="clear"/>
            <w:tcMar>
              <w:top w:type="dxa" w:w="90"/>
              <w:left w:type="dxa" w:w="120"/>
              <w:bottom w:type="dxa" w:w="90"/>
              <w:right w:type="dxa" w:w="120"/>
            </w:tcMar>
            <w:vAlign w:val="center"/>
          </w:tcPr>
          <w:p>
            <w:pPr>
              <w:jc w:val="center"/>
            </w:pPr>
            <w:r>
              <w:rPr>
                <w:rFonts w:ascii="Calibri" w:cs="Calibri" w:eastAsia="Calibri" w:hAnsi="Calibri"/>
                <w:color w:val="222222"/>
                <w:sz w:val="20"/>
                <w:szCs w:val="20"/>
              </w:rPr>
              <w:t xml:space="preserve">40</w:t>
            </w:r>
          </w:p>
        </w:tc>
      </w:tr>
      <w:tr>
        <w:tc>
          <w:tcPr>
            <w:tcW w:type="dxa" w:w="3000"/>
            <w:shd w:fill="F5F6F9" w:val="clear"/>
            <w:tcMar>
              <w:top w:type="dxa" w:w="90"/>
              <w:left w:type="dxa" w:w="120"/>
              <w:bottom w:type="dxa" w:w="90"/>
              <w:right w:type="dxa" w:w="120"/>
            </w:tcMar>
            <w:vAlign w:val="center"/>
          </w:tcPr>
          <w:p>
            <w:pPr>
              <w:jc w:val="left"/>
            </w:pPr>
            <w:r>
              <w:rPr>
                <w:rFonts w:ascii="Calibri" w:cs="Calibri" w:eastAsia="Calibri" w:hAnsi="Calibri"/>
                <w:color w:val="222222"/>
                <w:sz w:val="20"/>
                <w:szCs w:val="20"/>
              </w:rPr>
              <w:t xml:space="preserve">Part II</w:t>
            </w:r>
          </w:p>
        </w:tc>
        <w:tc>
          <w:tcPr>
            <w:tcW w:type="dxa" w:w="4750"/>
            <w:shd w:fill="F5F6F9" w:val="clear"/>
            <w:tcMar>
              <w:top w:type="dxa" w:w="90"/>
              <w:left w:type="dxa" w:w="120"/>
              <w:bottom w:type="dxa" w:w="90"/>
              <w:right w:type="dxa" w:w="120"/>
            </w:tcMar>
            <w:vAlign w:val="center"/>
          </w:tcPr>
          <w:p>
            <w:pPr>
              <w:jc w:val="center"/>
            </w:pPr>
            <w:r>
              <w:rPr>
                <w:rFonts w:ascii="Calibri" w:cs="Calibri" w:eastAsia="Calibri" w:hAnsi="Calibri"/>
                <w:color w:val="222222"/>
                <w:sz w:val="20"/>
                <w:szCs w:val="20"/>
              </w:rPr>
              <w:t xml:space="preserve">Science &amp; Technology — Part 2</w:t>
            </w:r>
          </w:p>
        </w:tc>
        <w:tc>
          <w:tcPr>
            <w:tcW w:type="dxa" w:w="1600"/>
            <w:shd w:fill="F5F6F9" w:val="clear"/>
            <w:tcMar>
              <w:top w:type="dxa" w:w="90"/>
              <w:left w:type="dxa" w:w="120"/>
              <w:bottom w:type="dxa" w:w="90"/>
              <w:right w:type="dxa" w:w="120"/>
            </w:tcMar>
            <w:vAlign w:val="center"/>
          </w:tcPr>
          <w:p>
            <w:pPr>
              <w:jc w:val="center"/>
            </w:pPr>
            <w:r>
              <w:rPr>
                <w:rFonts w:ascii="Calibri" w:cs="Calibri" w:eastAsia="Calibri" w:hAnsi="Calibri"/>
                <w:color w:val="222222"/>
                <w:sz w:val="20"/>
                <w:szCs w:val="20"/>
              </w:rPr>
              <w:t xml:space="preserve">40</w:t>
            </w:r>
          </w:p>
        </w:tc>
      </w:tr>
      <w:tr>
        <w:tc>
          <w:tcPr>
            <w:tcW w:type="dxa" w:w="3000"/>
            <w:shd w:fill="FFFFFF" w:val="clear"/>
            <w:tcMar>
              <w:top w:type="dxa" w:w="90"/>
              <w:left w:type="dxa" w:w="120"/>
              <w:bottom w:type="dxa" w:w="90"/>
              <w:right w:type="dxa" w:w="120"/>
            </w:tcMar>
            <w:vAlign w:val="center"/>
          </w:tcPr>
          <w:p>
            <w:pPr>
              <w:jc w:val="left"/>
            </w:pPr>
            <w:r>
              <w:rPr>
                <w:rFonts w:ascii="Calibri" w:cs="Calibri" w:eastAsia="Calibri" w:hAnsi="Calibri"/>
                <w:color w:val="222222"/>
                <w:sz w:val="20"/>
                <w:szCs w:val="20"/>
              </w:rPr>
              <w:t xml:space="preserve">Written Theory Total</w:t>
            </w:r>
          </w:p>
        </w:tc>
        <w:tc>
          <w:tcPr>
            <w:tcW w:type="dxa" w:w="4750"/>
            <w:shd w:fill="FFFFFF" w:val="clear"/>
            <w:tcMar>
              <w:top w:type="dxa" w:w="90"/>
              <w:left w:type="dxa" w:w="120"/>
              <w:bottom w:type="dxa" w:w="90"/>
              <w:right w:type="dxa" w:w="120"/>
            </w:tcMar>
            <w:vAlign w:val="center"/>
          </w:tcPr>
          <w:p>
            <w:pPr>
              <w:jc w:val="center"/>
            </w:pPr>
            <w:r>
              <w:rPr>
                <w:rFonts w:ascii="Calibri" w:cs="Calibri" w:eastAsia="Calibri" w:hAnsi="Calibri"/>
                <w:color w:val="222222"/>
                <w:sz w:val="20"/>
                <w:szCs w:val="20"/>
              </w:rPr>
              <w:t xml:space="preserve"/>
            </w:r>
          </w:p>
        </w:tc>
        <w:tc>
          <w:tcPr>
            <w:tcW w:type="dxa" w:w="1600"/>
            <w:shd w:fill="FFFFFF" w:val="clear"/>
            <w:tcMar>
              <w:top w:type="dxa" w:w="90"/>
              <w:left w:type="dxa" w:w="120"/>
              <w:bottom w:type="dxa" w:w="90"/>
              <w:right w:type="dxa" w:w="120"/>
            </w:tcMar>
            <w:vAlign w:val="center"/>
          </w:tcPr>
          <w:p>
            <w:pPr>
              <w:jc w:val="center"/>
            </w:pPr>
            <w:r>
              <w:rPr>
                <w:rFonts w:ascii="Calibri" w:cs="Calibri" w:eastAsia="Calibri" w:hAnsi="Calibri"/>
                <w:color w:val="222222"/>
                <w:sz w:val="20"/>
                <w:szCs w:val="20"/>
              </w:rPr>
              <w:t xml:space="preserve">80</w:t>
            </w:r>
          </w:p>
        </w:tc>
      </w:tr>
      <w:tr>
        <w:tc>
          <w:tcPr>
            <w:tcW w:type="dxa" w:w="3000"/>
            <w:shd w:fill="F5F6F9" w:val="clear"/>
            <w:tcMar>
              <w:top w:type="dxa" w:w="90"/>
              <w:left w:type="dxa" w:w="120"/>
              <w:bottom w:type="dxa" w:w="90"/>
              <w:right w:type="dxa" w:w="120"/>
            </w:tcMar>
            <w:vAlign w:val="center"/>
          </w:tcPr>
          <w:p>
            <w:pPr>
              <w:jc w:val="left"/>
            </w:pPr>
            <w:r>
              <w:rPr>
                <w:rFonts w:ascii="Calibri" w:cs="Calibri" w:eastAsia="Calibri" w:hAnsi="Calibri"/>
                <w:color w:val="222222"/>
                <w:sz w:val="20"/>
                <w:szCs w:val="20"/>
              </w:rPr>
              <w:t xml:space="preserve">Internal Assessment</w:t>
            </w:r>
          </w:p>
        </w:tc>
        <w:tc>
          <w:tcPr>
            <w:tcW w:type="dxa" w:w="4750"/>
            <w:shd w:fill="F5F6F9" w:val="clear"/>
            <w:tcMar>
              <w:top w:type="dxa" w:w="90"/>
              <w:left w:type="dxa" w:w="120"/>
              <w:bottom w:type="dxa" w:w="90"/>
              <w:right w:type="dxa" w:w="120"/>
            </w:tcMar>
            <w:vAlign w:val="center"/>
          </w:tcPr>
          <w:p>
            <w:pPr>
              <w:jc w:val="center"/>
            </w:pPr>
            <w:r>
              <w:rPr>
                <w:rFonts w:ascii="Calibri" w:cs="Calibri" w:eastAsia="Calibri" w:hAnsi="Calibri"/>
                <w:color w:val="222222"/>
                <w:sz w:val="20"/>
                <w:szCs w:val="20"/>
              </w:rPr>
              <w:t xml:space="preserve">Practical work and internal evaluation</w:t>
            </w:r>
          </w:p>
        </w:tc>
        <w:tc>
          <w:tcPr>
            <w:tcW w:type="dxa" w:w="1600"/>
            <w:shd w:fill="F5F6F9" w:val="clear"/>
            <w:tcMar>
              <w:top w:type="dxa" w:w="90"/>
              <w:left w:type="dxa" w:w="120"/>
              <w:bottom w:type="dxa" w:w="90"/>
              <w:right w:type="dxa" w:w="120"/>
            </w:tcMar>
            <w:vAlign w:val="center"/>
          </w:tcPr>
          <w:p>
            <w:pPr>
              <w:jc w:val="center"/>
            </w:pPr>
            <w:r>
              <w:rPr>
                <w:rFonts w:ascii="Calibri" w:cs="Calibri" w:eastAsia="Calibri" w:hAnsi="Calibri"/>
                <w:color w:val="222222"/>
                <w:sz w:val="20"/>
                <w:szCs w:val="20"/>
              </w:rPr>
              <w:t xml:space="preserve">20</w:t>
            </w:r>
          </w:p>
        </w:tc>
      </w:tr>
      <w:tr>
        <w:tc>
          <w:tcPr>
            <w:tcW w:type="dxa" w:w="3000"/>
            <w:shd w:fill="FFFFFF" w:val="clear"/>
            <w:tcMar>
              <w:top w:type="dxa" w:w="90"/>
              <w:left w:type="dxa" w:w="120"/>
              <w:bottom w:type="dxa" w:w="90"/>
              <w:right w:type="dxa" w:w="120"/>
            </w:tcMar>
            <w:vAlign w:val="center"/>
          </w:tcPr>
          <w:p>
            <w:pPr>
              <w:jc w:val="left"/>
            </w:pPr>
            <w:r>
              <w:rPr>
                <w:rFonts w:ascii="Calibri" w:cs="Calibri" w:eastAsia="Calibri" w:hAnsi="Calibri"/>
                <w:color w:val="222222"/>
                <w:sz w:val="20"/>
                <w:szCs w:val="20"/>
              </w:rPr>
              <w:t xml:space="preserve">Grand Total</w:t>
            </w:r>
          </w:p>
        </w:tc>
        <w:tc>
          <w:tcPr>
            <w:tcW w:type="dxa" w:w="4750"/>
            <w:shd w:fill="FFFFFF" w:val="clear"/>
            <w:tcMar>
              <w:top w:type="dxa" w:w="90"/>
              <w:left w:type="dxa" w:w="120"/>
              <w:bottom w:type="dxa" w:w="90"/>
              <w:right w:type="dxa" w:w="120"/>
            </w:tcMar>
            <w:vAlign w:val="center"/>
          </w:tcPr>
          <w:p>
            <w:pPr>
              <w:jc w:val="center"/>
            </w:pPr>
            <w:r>
              <w:rPr>
                <w:rFonts w:ascii="Calibri" w:cs="Calibri" w:eastAsia="Calibri" w:hAnsi="Calibri"/>
                <w:color w:val="222222"/>
                <w:sz w:val="20"/>
                <w:szCs w:val="20"/>
              </w:rPr>
              <w:t xml:space="preserve"/>
            </w:r>
          </w:p>
        </w:tc>
        <w:tc>
          <w:tcPr>
            <w:tcW w:type="dxa" w:w="1600"/>
            <w:shd w:fill="FFFFFF" w:val="clear"/>
            <w:tcMar>
              <w:top w:type="dxa" w:w="90"/>
              <w:left w:type="dxa" w:w="120"/>
              <w:bottom w:type="dxa" w:w="90"/>
              <w:right w:type="dxa" w:w="120"/>
            </w:tcMar>
            <w:vAlign w:val="center"/>
          </w:tcPr>
          <w:p>
            <w:pPr>
              <w:jc w:val="center"/>
            </w:pPr>
            <w:r>
              <w:rPr>
                <w:rFonts w:ascii="Calibri" w:cs="Calibri" w:eastAsia="Calibri" w:hAnsi="Calibri"/>
                <w:color w:val="222222"/>
                <w:sz w:val="20"/>
                <w:szCs w:val="20"/>
              </w:rPr>
              <w:t xml:space="preserve">100</w:t>
            </w:r>
          </w:p>
        </w:tc>
      </w:tr>
    </w:tbl>
    <w:p>
      <w:pPr>
        <w:spacing w:before="200"/>
      </w:pPr>
    </w:p>
    <w:p>
      <w:pPr>
        <w:pStyle w:val="Heading2"/>
        <w:spacing w:after="160" w:before="320"/>
      </w:pPr>
      <w:r>
        <w:rPr>
          <w:rFonts w:ascii="Cambria" w:cs="Cambria" w:eastAsia="Cambria" w:hAnsi="Cambria"/>
          <w:b/>
          <w:bCs/>
          <w:color w:val="1B2A4A"/>
          <w:sz w:val="24"/>
          <w:szCs w:val="24"/>
        </w:rPr>
        <w:t xml:space="preserve">3.4  Social Science</w:t>
      </w:r>
    </w:p>
    <w:p>
      <w:pPr>
        <w:spacing w:after="160" w:line="300"/>
      </w:pPr>
      <w:r>
        <w:rPr>
          <w:rFonts w:ascii="Calibri" w:cs="Calibri" w:eastAsia="Calibri" w:hAnsi="Calibri"/>
          <w:color w:val="222222"/>
          <w:sz w:val="22"/>
          <w:szCs w:val="22"/>
        </w:rPr>
        <w:t xml:space="preserve">The Social Science paper is divided into two parts, each further combining two disciplines.</w:t>
      </w:r>
    </w:p>
    <w:tbl>
      <w:tblPr>
        <w:tblW w:type="dxa" w:w="9350"/>
        <w:tblBorders>
          <w:top w:val="single" w:color="D9DCE3" w:sz="4"/>
          <w:left w:val="single" w:color="D9DCE3" w:sz="4"/>
          <w:bottom w:val="single" w:color="D9DCE3" w:sz="4"/>
          <w:right w:val="single" w:color="D9DCE3" w:sz="4"/>
          <w:insideH w:val="single" w:color="D9DCE3" w:sz="4"/>
          <w:insideV w:val="single" w:color="D9DCE3" w:sz="4"/>
        </w:tblBorders>
      </w:tblPr>
      <w:tblGrid>
        <w:gridCol w:w="3000"/>
        <w:gridCol w:w="4750"/>
        <w:gridCol w:w="1600"/>
      </w:tblGrid>
      <w:tr>
        <w:trPr>
          <w:tblHeader/>
        </w:trPr>
        <w:tc>
          <w:tcPr>
            <w:tcW w:type="dxa" w:w="3000"/>
            <w:shd w:fill="1B2A4A" w:val="clear"/>
            <w:tcMar>
              <w:top w:type="dxa" w:w="100"/>
              <w:left w:type="dxa" w:w="120"/>
              <w:bottom w:type="dxa" w:w="100"/>
              <w:right w:type="dxa" w:w="120"/>
            </w:tcMar>
            <w:vAlign w:val="center"/>
          </w:tcPr>
          <w:p>
            <w:pPr>
              <w:jc w:val="center"/>
            </w:pPr>
            <w:r>
              <w:rPr>
                <w:rFonts w:ascii="Cambria" w:cs="Cambria" w:eastAsia="Cambria" w:hAnsi="Cambria"/>
                <w:b/>
                <w:bCs/>
                <w:color w:val="FFFFFF"/>
                <w:sz w:val="20"/>
                <w:szCs w:val="20"/>
              </w:rPr>
              <w:t xml:space="preserve">Section</w:t>
            </w:r>
          </w:p>
        </w:tc>
        <w:tc>
          <w:tcPr>
            <w:tcW w:type="dxa" w:w="4750"/>
            <w:shd w:fill="1B2A4A" w:val="clear"/>
            <w:tcMar>
              <w:top w:type="dxa" w:w="100"/>
              <w:left w:type="dxa" w:w="120"/>
              <w:bottom w:type="dxa" w:w="100"/>
              <w:right w:type="dxa" w:w="120"/>
            </w:tcMar>
            <w:vAlign w:val="center"/>
          </w:tcPr>
          <w:p>
            <w:pPr>
              <w:jc w:val="center"/>
            </w:pPr>
            <w:r>
              <w:rPr>
                <w:rFonts w:ascii="Cambria" w:cs="Cambria" w:eastAsia="Cambria" w:hAnsi="Cambria"/>
                <w:b/>
                <w:bCs/>
                <w:color w:val="FFFFFF"/>
                <w:sz w:val="20"/>
                <w:szCs w:val="20"/>
              </w:rPr>
              <w:t xml:space="preserve">Area Tested</w:t>
            </w:r>
          </w:p>
        </w:tc>
        <w:tc>
          <w:tcPr>
            <w:tcW w:type="dxa" w:w="1600"/>
            <w:shd w:fill="1B2A4A" w:val="clear"/>
            <w:tcMar>
              <w:top w:type="dxa" w:w="100"/>
              <w:left w:type="dxa" w:w="120"/>
              <w:bottom w:type="dxa" w:w="100"/>
              <w:right w:type="dxa" w:w="120"/>
            </w:tcMar>
            <w:vAlign w:val="center"/>
          </w:tcPr>
          <w:p>
            <w:pPr>
              <w:jc w:val="center"/>
            </w:pPr>
            <w:r>
              <w:rPr>
                <w:rFonts w:ascii="Cambria" w:cs="Cambria" w:eastAsia="Cambria" w:hAnsi="Cambria"/>
                <w:b/>
                <w:bCs/>
                <w:color w:val="FFFFFF"/>
                <w:sz w:val="20"/>
                <w:szCs w:val="20"/>
              </w:rPr>
              <w:t xml:space="preserve">Marks</w:t>
            </w:r>
          </w:p>
        </w:tc>
      </w:tr>
      <w:tr>
        <w:tc>
          <w:tcPr>
            <w:tcW w:type="dxa" w:w="3000"/>
            <w:shd w:fill="FFFFFF" w:val="clear"/>
            <w:tcMar>
              <w:top w:type="dxa" w:w="90"/>
              <w:left w:type="dxa" w:w="120"/>
              <w:bottom w:type="dxa" w:w="90"/>
              <w:right w:type="dxa" w:w="120"/>
            </w:tcMar>
            <w:vAlign w:val="center"/>
          </w:tcPr>
          <w:p>
            <w:pPr>
              <w:jc w:val="left"/>
            </w:pPr>
            <w:r>
              <w:rPr>
                <w:rFonts w:ascii="Calibri" w:cs="Calibri" w:eastAsia="Calibri" w:hAnsi="Calibri"/>
                <w:color w:val="222222"/>
                <w:sz w:val="20"/>
                <w:szCs w:val="20"/>
              </w:rPr>
              <w:t xml:space="preserve">Part A</w:t>
            </w:r>
          </w:p>
        </w:tc>
        <w:tc>
          <w:tcPr>
            <w:tcW w:type="dxa" w:w="4750"/>
            <w:shd w:fill="FFFFFF" w:val="clear"/>
            <w:tcMar>
              <w:top w:type="dxa" w:w="90"/>
              <w:left w:type="dxa" w:w="120"/>
              <w:bottom w:type="dxa" w:w="90"/>
              <w:right w:type="dxa" w:w="120"/>
            </w:tcMar>
            <w:vAlign w:val="center"/>
          </w:tcPr>
          <w:p>
            <w:pPr>
              <w:jc w:val="center"/>
            </w:pPr>
            <w:r>
              <w:rPr>
                <w:rFonts w:ascii="Calibri" w:cs="Calibri" w:eastAsia="Calibri" w:hAnsi="Calibri"/>
                <w:color w:val="222222"/>
                <w:sz w:val="20"/>
                <w:szCs w:val="20"/>
              </w:rPr>
              <w:t xml:space="preserve">History and Political Science</w:t>
            </w:r>
          </w:p>
        </w:tc>
        <w:tc>
          <w:tcPr>
            <w:tcW w:type="dxa" w:w="1600"/>
            <w:shd w:fill="FFFFFF" w:val="clear"/>
            <w:tcMar>
              <w:top w:type="dxa" w:w="90"/>
              <w:left w:type="dxa" w:w="120"/>
              <w:bottom w:type="dxa" w:w="90"/>
              <w:right w:type="dxa" w:w="120"/>
            </w:tcMar>
            <w:vAlign w:val="center"/>
          </w:tcPr>
          <w:p>
            <w:pPr>
              <w:jc w:val="center"/>
            </w:pPr>
            <w:r>
              <w:rPr>
                <w:rFonts w:ascii="Calibri" w:cs="Calibri" w:eastAsia="Calibri" w:hAnsi="Calibri"/>
                <w:color w:val="222222"/>
                <w:sz w:val="20"/>
                <w:szCs w:val="20"/>
              </w:rPr>
              <w:t xml:space="preserve">40</w:t>
            </w:r>
          </w:p>
        </w:tc>
      </w:tr>
      <w:tr>
        <w:tc>
          <w:tcPr>
            <w:tcW w:type="dxa" w:w="3000"/>
            <w:shd w:fill="F5F6F9" w:val="clear"/>
            <w:tcMar>
              <w:top w:type="dxa" w:w="90"/>
              <w:left w:type="dxa" w:w="120"/>
              <w:bottom w:type="dxa" w:w="90"/>
              <w:right w:type="dxa" w:w="120"/>
            </w:tcMar>
            <w:vAlign w:val="center"/>
          </w:tcPr>
          <w:p>
            <w:pPr>
              <w:jc w:val="left"/>
            </w:pPr>
            <w:r>
              <w:rPr>
                <w:rFonts w:ascii="Calibri" w:cs="Calibri" w:eastAsia="Calibri" w:hAnsi="Calibri"/>
                <w:color w:val="222222"/>
                <w:sz w:val="20"/>
                <w:szCs w:val="20"/>
              </w:rPr>
              <w:t xml:space="preserve">Part B</w:t>
            </w:r>
          </w:p>
        </w:tc>
        <w:tc>
          <w:tcPr>
            <w:tcW w:type="dxa" w:w="4750"/>
            <w:shd w:fill="F5F6F9" w:val="clear"/>
            <w:tcMar>
              <w:top w:type="dxa" w:w="90"/>
              <w:left w:type="dxa" w:w="120"/>
              <w:bottom w:type="dxa" w:w="90"/>
              <w:right w:type="dxa" w:w="120"/>
            </w:tcMar>
            <w:vAlign w:val="center"/>
          </w:tcPr>
          <w:p>
            <w:pPr>
              <w:jc w:val="center"/>
            </w:pPr>
            <w:r>
              <w:rPr>
                <w:rFonts w:ascii="Calibri" w:cs="Calibri" w:eastAsia="Calibri" w:hAnsi="Calibri"/>
                <w:color w:val="222222"/>
                <w:sz w:val="20"/>
                <w:szCs w:val="20"/>
              </w:rPr>
              <w:t xml:space="preserve">Geography and Economics</w:t>
            </w:r>
          </w:p>
        </w:tc>
        <w:tc>
          <w:tcPr>
            <w:tcW w:type="dxa" w:w="1600"/>
            <w:shd w:fill="F5F6F9" w:val="clear"/>
            <w:tcMar>
              <w:top w:type="dxa" w:w="90"/>
              <w:left w:type="dxa" w:w="120"/>
              <w:bottom w:type="dxa" w:w="90"/>
              <w:right w:type="dxa" w:w="120"/>
            </w:tcMar>
            <w:vAlign w:val="center"/>
          </w:tcPr>
          <w:p>
            <w:pPr>
              <w:jc w:val="center"/>
            </w:pPr>
            <w:r>
              <w:rPr>
                <w:rFonts w:ascii="Calibri" w:cs="Calibri" w:eastAsia="Calibri" w:hAnsi="Calibri"/>
                <w:color w:val="222222"/>
                <w:sz w:val="20"/>
                <w:szCs w:val="20"/>
              </w:rPr>
              <w:t xml:space="preserve">40</w:t>
            </w:r>
          </w:p>
        </w:tc>
      </w:tr>
      <w:tr>
        <w:tc>
          <w:tcPr>
            <w:tcW w:type="dxa" w:w="3000"/>
            <w:shd w:fill="FFFFFF" w:val="clear"/>
            <w:tcMar>
              <w:top w:type="dxa" w:w="90"/>
              <w:left w:type="dxa" w:w="120"/>
              <w:bottom w:type="dxa" w:w="90"/>
              <w:right w:type="dxa" w:w="120"/>
            </w:tcMar>
            <w:vAlign w:val="center"/>
          </w:tcPr>
          <w:p>
            <w:pPr>
              <w:jc w:val="left"/>
            </w:pPr>
            <w:r>
              <w:rPr>
                <w:rFonts w:ascii="Calibri" w:cs="Calibri" w:eastAsia="Calibri" w:hAnsi="Calibri"/>
                <w:color w:val="222222"/>
                <w:sz w:val="20"/>
                <w:szCs w:val="20"/>
              </w:rPr>
              <w:t xml:space="preserve">Written Theory Total</w:t>
            </w:r>
          </w:p>
        </w:tc>
        <w:tc>
          <w:tcPr>
            <w:tcW w:type="dxa" w:w="4750"/>
            <w:shd w:fill="FFFFFF" w:val="clear"/>
            <w:tcMar>
              <w:top w:type="dxa" w:w="90"/>
              <w:left w:type="dxa" w:w="120"/>
              <w:bottom w:type="dxa" w:w="90"/>
              <w:right w:type="dxa" w:w="120"/>
            </w:tcMar>
            <w:vAlign w:val="center"/>
          </w:tcPr>
          <w:p>
            <w:pPr>
              <w:jc w:val="center"/>
            </w:pPr>
            <w:r>
              <w:rPr>
                <w:rFonts w:ascii="Calibri" w:cs="Calibri" w:eastAsia="Calibri" w:hAnsi="Calibri"/>
                <w:color w:val="222222"/>
                <w:sz w:val="20"/>
                <w:szCs w:val="20"/>
              </w:rPr>
              <w:t xml:space="preserve"/>
            </w:r>
          </w:p>
        </w:tc>
        <w:tc>
          <w:tcPr>
            <w:tcW w:type="dxa" w:w="1600"/>
            <w:shd w:fill="FFFFFF" w:val="clear"/>
            <w:tcMar>
              <w:top w:type="dxa" w:w="90"/>
              <w:left w:type="dxa" w:w="120"/>
              <w:bottom w:type="dxa" w:w="90"/>
              <w:right w:type="dxa" w:w="120"/>
            </w:tcMar>
            <w:vAlign w:val="center"/>
          </w:tcPr>
          <w:p>
            <w:pPr>
              <w:jc w:val="center"/>
            </w:pPr>
            <w:r>
              <w:rPr>
                <w:rFonts w:ascii="Calibri" w:cs="Calibri" w:eastAsia="Calibri" w:hAnsi="Calibri"/>
                <w:color w:val="222222"/>
                <w:sz w:val="20"/>
                <w:szCs w:val="20"/>
              </w:rPr>
              <w:t xml:space="preserve">80</w:t>
            </w:r>
          </w:p>
        </w:tc>
      </w:tr>
      <w:tr>
        <w:tc>
          <w:tcPr>
            <w:tcW w:type="dxa" w:w="3000"/>
            <w:shd w:fill="F5F6F9" w:val="clear"/>
            <w:tcMar>
              <w:top w:type="dxa" w:w="90"/>
              <w:left w:type="dxa" w:w="120"/>
              <w:bottom w:type="dxa" w:w="90"/>
              <w:right w:type="dxa" w:w="120"/>
            </w:tcMar>
            <w:vAlign w:val="center"/>
          </w:tcPr>
          <w:p>
            <w:pPr>
              <w:jc w:val="left"/>
            </w:pPr>
            <w:r>
              <w:rPr>
                <w:rFonts w:ascii="Calibri" w:cs="Calibri" w:eastAsia="Calibri" w:hAnsi="Calibri"/>
                <w:color w:val="222222"/>
                <w:sz w:val="20"/>
                <w:szCs w:val="20"/>
              </w:rPr>
              <w:t xml:space="preserve">Internal Assessment</w:t>
            </w:r>
          </w:p>
        </w:tc>
        <w:tc>
          <w:tcPr>
            <w:tcW w:type="dxa" w:w="4750"/>
            <w:shd w:fill="F5F6F9" w:val="clear"/>
            <w:tcMar>
              <w:top w:type="dxa" w:w="90"/>
              <w:left w:type="dxa" w:w="120"/>
              <w:bottom w:type="dxa" w:w="90"/>
              <w:right w:type="dxa" w:w="120"/>
            </w:tcMar>
            <w:vAlign w:val="center"/>
          </w:tcPr>
          <w:p>
            <w:pPr>
              <w:jc w:val="center"/>
            </w:pPr>
            <w:r>
              <w:rPr>
                <w:rFonts w:ascii="Calibri" w:cs="Calibri" w:eastAsia="Calibri" w:hAnsi="Calibri"/>
                <w:color w:val="222222"/>
                <w:sz w:val="20"/>
                <w:szCs w:val="20"/>
              </w:rPr>
              <w:t xml:space="preserve">Map work, projects, internal evaluation</w:t>
            </w:r>
          </w:p>
        </w:tc>
        <w:tc>
          <w:tcPr>
            <w:tcW w:type="dxa" w:w="1600"/>
            <w:shd w:fill="F5F6F9" w:val="clear"/>
            <w:tcMar>
              <w:top w:type="dxa" w:w="90"/>
              <w:left w:type="dxa" w:w="120"/>
              <w:bottom w:type="dxa" w:w="90"/>
              <w:right w:type="dxa" w:w="120"/>
            </w:tcMar>
            <w:vAlign w:val="center"/>
          </w:tcPr>
          <w:p>
            <w:pPr>
              <w:jc w:val="center"/>
            </w:pPr>
            <w:r>
              <w:rPr>
                <w:rFonts w:ascii="Calibri" w:cs="Calibri" w:eastAsia="Calibri" w:hAnsi="Calibri"/>
                <w:color w:val="222222"/>
                <w:sz w:val="20"/>
                <w:szCs w:val="20"/>
              </w:rPr>
              <w:t xml:space="preserve">20</w:t>
            </w:r>
          </w:p>
        </w:tc>
      </w:tr>
      <w:tr>
        <w:tc>
          <w:tcPr>
            <w:tcW w:type="dxa" w:w="3000"/>
            <w:shd w:fill="FFFFFF" w:val="clear"/>
            <w:tcMar>
              <w:top w:type="dxa" w:w="90"/>
              <w:left w:type="dxa" w:w="120"/>
              <w:bottom w:type="dxa" w:w="90"/>
              <w:right w:type="dxa" w:w="120"/>
            </w:tcMar>
            <w:vAlign w:val="center"/>
          </w:tcPr>
          <w:p>
            <w:pPr>
              <w:jc w:val="left"/>
            </w:pPr>
            <w:r>
              <w:rPr>
                <w:rFonts w:ascii="Calibri" w:cs="Calibri" w:eastAsia="Calibri" w:hAnsi="Calibri"/>
                <w:color w:val="222222"/>
                <w:sz w:val="20"/>
                <w:szCs w:val="20"/>
              </w:rPr>
              <w:t xml:space="preserve">Grand Total</w:t>
            </w:r>
          </w:p>
        </w:tc>
        <w:tc>
          <w:tcPr>
            <w:tcW w:type="dxa" w:w="4750"/>
            <w:shd w:fill="FFFFFF" w:val="clear"/>
            <w:tcMar>
              <w:top w:type="dxa" w:w="90"/>
              <w:left w:type="dxa" w:w="120"/>
              <w:bottom w:type="dxa" w:w="90"/>
              <w:right w:type="dxa" w:w="120"/>
            </w:tcMar>
            <w:vAlign w:val="center"/>
          </w:tcPr>
          <w:p>
            <w:pPr>
              <w:jc w:val="center"/>
            </w:pPr>
            <w:r>
              <w:rPr>
                <w:rFonts w:ascii="Calibri" w:cs="Calibri" w:eastAsia="Calibri" w:hAnsi="Calibri"/>
                <w:color w:val="222222"/>
                <w:sz w:val="20"/>
                <w:szCs w:val="20"/>
              </w:rPr>
              <w:t xml:space="preserve"/>
            </w:r>
          </w:p>
        </w:tc>
        <w:tc>
          <w:tcPr>
            <w:tcW w:type="dxa" w:w="1600"/>
            <w:shd w:fill="FFFFFF" w:val="clear"/>
            <w:tcMar>
              <w:top w:type="dxa" w:w="90"/>
              <w:left w:type="dxa" w:w="120"/>
              <w:bottom w:type="dxa" w:w="90"/>
              <w:right w:type="dxa" w:w="120"/>
            </w:tcMar>
            <w:vAlign w:val="center"/>
          </w:tcPr>
          <w:p>
            <w:pPr>
              <w:jc w:val="center"/>
            </w:pPr>
            <w:r>
              <w:rPr>
                <w:rFonts w:ascii="Calibri" w:cs="Calibri" w:eastAsia="Calibri" w:hAnsi="Calibri"/>
                <w:color w:val="222222"/>
                <w:sz w:val="20"/>
                <w:szCs w:val="20"/>
              </w:rPr>
              <w:t xml:space="preserve">100</w:t>
            </w:r>
          </w:p>
        </w:tc>
      </w:tr>
    </w:tbl>
    <w:p>
      <w:pPr>
        <w:pStyle w:val="Heading1"/>
        <w:pBdr>
          <w:bottom w:val="single" w:color="C9962C" w:sz="6" w:space="6"/>
        </w:pBdr>
        <w:spacing w:after="240" w:before="480"/>
      </w:pPr>
      <w:r>
        <w:rPr>
          <w:rFonts w:ascii="Cambria" w:cs="Cambria" w:eastAsia="Cambria" w:hAnsi="Cambria"/>
          <w:b/>
          <w:bCs/>
          <w:color w:val="C9962C"/>
          <w:sz w:val="30"/>
          <w:szCs w:val="30"/>
        </w:rPr>
        <w:t xml:space="preserve">4.  </w:t>
      </w:r>
      <w:r>
        <w:rPr>
          <w:rFonts w:ascii="Cambria" w:cs="Cambria" w:eastAsia="Cambria" w:hAnsi="Cambria"/>
          <w:b/>
          <w:bCs/>
          <w:color w:val="1B2A4A"/>
          <w:sz w:val="30"/>
          <w:szCs w:val="30"/>
        </w:rPr>
        <w:t xml:space="preserve">Marking Scheme &amp; Grading System</w:t>
      </w:r>
    </w:p>
    <w:p>
      <w:pPr>
        <w:spacing w:after="160" w:line="300"/>
      </w:pPr>
      <w:r>
        <w:rPr>
          <w:rFonts w:ascii="Calibri" w:cs="Calibri" w:eastAsia="Calibri" w:hAnsi="Calibri"/>
          <w:color w:val="222222"/>
          <w:sz w:val="22"/>
          <w:szCs w:val="22"/>
        </w:rPr>
        <w:t xml:space="preserve">Understanding how marks are allocated and how the final result is calculated helps students plan their preparation and manage their time effectively during the examination.</w:t>
      </w:r>
    </w:p>
    <w:p>
      <w:pPr>
        <w:pStyle w:val="Heading2"/>
        <w:spacing w:after="160" w:before="320"/>
      </w:pPr>
      <w:r>
        <w:rPr>
          <w:rFonts w:ascii="Cambria" w:cs="Cambria" w:eastAsia="Cambria" w:hAnsi="Cambria"/>
          <w:b/>
          <w:bCs/>
          <w:color w:val="1B2A4A"/>
          <w:sz w:val="24"/>
          <w:szCs w:val="24"/>
        </w:rPr>
        <w:t xml:space="preserve">Overall Marks Distribution</w:t>
      </w:r>
    </w:p>
    <w:tbl>
      <w:tblPr>
        <w:tblW w:type="dxa" w:w="9350"/>
        <w:tblBorders>
          <w:top w:val="single" w:color="D9DCE3" w:sz="4"/>
          <w:left w:val="single" w:color="D9DCE3" w:sz="4"/>
          <w:bottom w:val="single" w:color="D9DCE3" w:sz="4"/>
          <w:right w:val="single" w:color="D9DCE3" w:sz="4"/>
          <w:insideH w:val="single" w:color="D9DCE3" w:sz="4"/>
          <w:insideV w:val="single" w:color="D9DCE3" w:sz="4"/>
        </w:tblBorders>
      </w:tblPr>
      <w:tblGrid>
        <w:gridCol w:w="3200"/>
        <w:gridCol w:w="4650"/>
        <w:gridCol w:w="1500"/>
      </w:tblGrid>
      <w:tr>
        <w:trPr>
          <w:tblHeader/>
        </w:trPr>
        <w:tc>
          <w:tcPr>
            <w:tcW w:type="dxa" w:w="3200"/>
            <w:shd w:fill="1B2A4A" w:val="clear"/>
            <w:tcMar>
              <w:top w:type="dxa" w:w="100"/>
              <w:left w:type="dxa" w:w="120"/>
              <w:bottom w:type="dxa" w:w="100"/>
              <w:right w:type="dxa" w:w="120"/>
            </w:tcMar>
            <w:vAlign w:val="center"/>
          </w:tcPr>
          <w:p>
            <w:pPr>
              <w:jc w:val="center"/>
            </w:pPr>
            <w:r>
              <w:rPr>
                <w:rFonts w:ascii="Cambria" w:cs="Cambria" w:eastAsia="Cambria" w:hAnsi="Cambria"/>
                <w:b/>
                <w:bCs/>
                <w:color w:val="FFFFFF"/>
                <w:sz w:val="20"/>
                <w:szCs w:val="20"/>
              </w:rPr>
              <w:t xml:space="preserve">Component</w:t>
            </w:r>
          </w:p>
        </w:tc>
        <w:tc>
          <w:tcPr>
            <w:tcW w:type="dxa" w:w="4650"/>
            <w:shd w:fill="1B2A4A" w:val="clear"/>
            <w:tcMar>
              <w:top w:type="dxa" w:w="100"/>
              <w:left w:type="dxa" w:w="120"/>
              <w:bottom w:type="dxa" w:w="100"/>
              <w:right w:type="dxa" w:w="120"/>
            </w:tcMar>
            <w:vAlign w:val="center"/>
          </w:tcPr>
          <w:p>
            <w:pPr>
              <w:jc w:val="center"/>
            </w:pPr>
            <w:r>
              <w:rPr>
                <w:rFonts w:ascii="Cambria" w:cs="Cambria" w:eastAsia="Cambria" w:hAnsi="Cambria"/>
                <w:b/>
                <w:bCs/>
                <w:color w:val="FFFFFF"/>
                <w:sz w:val="20"/>
                <w:szCs w:val="20"/>
              </w:rPr>
              <w:t xml:space="preserve">Description</w:t>
            </w:r>
          </w:p>
        </w:tc>
        <w:tc>
          <w:tcPr>
            <w:tcW w:type="dxa" w:w="1500"/>
            <w:shd w:fill="1B2A4A" w:val="clear"/>
            <w:tcMar>
              <w:top w:type="dxa" w:w="100"/>
              <w:left w:type="dxa" w:w="120"/>
              <w:bottom w:type="dxa" w:w="100"/>
              <w:right w:type="dxa" w:w="120"/>
            </w:tcMar>
            <w:vAlign w:val="center"/>
          </w:tcPr>
          <w:p>
            <w:pPr>
              <w:jc w:val="center"/>
            </w:pPr>
            <w:r>
              <w:rPr>
                <w:rFonts w:ascii="Cambria" w:cs="Cambria" w:eastAsia="Cambria" w:hAnsi="Cambria"/>
                <w:b/>
                <w:bCs/>
                <w:color w:val="FFFFFF"/>
                <w:sz w:val="20"/>
                <w:szCs w:val="20"/>
              </w:rPr>
              <w:t xml:space="preserve">Weightage</w:t>
            </w:r>
          </w:p>
        </w:tc>
      </w:tr>
      <w:tr>
        <w:tc>
          <w:tcPr>
            <w:tcW w:type="dxa" w:w="3200"/>
            <w:shd w:fill="FFFFFF" w:val="clear"/>
            <w:tcMar>
              <w:top w:type="dxa" w:w="90"/>
              <w:left w:type="dxa" w:w="120"/>
              <w:bottom w:type="dxa" w:w="90"/>
              <w:right w:type="dxa" w:w="120"/>
            </w:tcMar>
            <w:vAlign w:val="center"/>
          </w:tcPr>
          <w:p>
            <w:pPr>
              <w:jc w:val="left"/>
            </w:pPr>
            <w:r>
              <w:rPr>
                <w:rFonts w:ascii="Calibri" w:cs="Calibri" w:eastAsia="Calibri" w:hAnsi="Calibri"/>
                <w:color w:val="222222"/>
                <w:sz w:val="20"/>
                <w:szCs w:val="20"/>
              </w:rPr>
              <w:t xml:space="preserve">Written Theory Examination</w:t>
            </w:r>
          </w:p>
        </w:tc>
        <w:tc>
          <w:tcPr>
            <w:tcW w:type="dxa" w:w="4650"/>
            <w:shd w:fill="FFFFFF" w:val="clear"/>
            <w:tcMar>
              <w:top w:type="dxa" w:w="90"/>
              <w:left w:type="dxa" w:w="120"/>
              <w:bottom w:type="dxa" w:w="90"/>
              <w:right w:type="dxa" w:w="120"/>
            </w:tcMar>
            <w:vAlign w:val="center"/>
          </w:tcPr>
          <w:p>
            <w:pPr>
              <w:jc w:val="center"/>
            </w:pPr>
            <w:r>
              <w:rPr>
                <w:rFonts w:ascii="Calibri" w:cs="Calibri" w:eastAsia="Calibri" w:hAnsi="Calibri"/>
                <w:color w:val="222222"/>
                <w:sz w:val="20"/>
                <w:szCs w:val="20"/>
              </w:rPr>
              <w:t xml:space="preserve">Final board-conducted written paper</w:t>
            </w:r>
          </w:p>
        </w:tc>
        <w:tc>
          <w:tcPr>
            <w:tcW w:type="dxa" w:w="1500"/>
            <w:shd w:fill="FFFFFF" w:val="clear"/>
            <w:tcMar>
              <w:top w:type="dxa" w:w="90"/>
              <w:left w:type="dxa" w:w="120"/>
              <w:bottom w:type="dxa" w:w="90"/>
              <w:right w:type="dxa" w:w="120"/>
            </w:tcMar>
            <w:vAlign w:val="center"/>
          </w:tcPr>
          <w:p>
            <w:pPr>
              <w:jc w:val="center"/>
            </w:pPr>
            <w:r>
              <w:rPr>
                <w:rFonts w:ascii="Calibri" w:cs="Calibri" w:eastAsia="Calibri" w:hAnsi="Calibri"/>
                <w:color w:val="222222"/>
                <w:sz w:val="20"/>
                <w:szCs w:val="20"/>
              </w:rPr>
              <w:t xml:space="preserve">80%</w:t>
            </w:r>
          </w:p>
        </w:tc>
      </w:tr>
      <w:tr>
        <w:tc>
          <w:tcPr>
            <w:tcW w:type="dxa" w:w="3200"/>
            <w:shd w:fill="F5F6F9" w:val="clear"/>
            <w:tcMar>
              <w:top w:type="dxa" w:w="90"/>
              <w:left w:type="dxa" w:w="120"/>
              <w:bottom w:type="dxa" w:w="90"/>
              <w:right w:type="dxa" w:w="120"/>
            </w:tcMar>
            <w:vAlign w:val="center"/>
          </w:tcPr>
          <w:p>
            <w:pPr>
              <w:jc w:val="left"/>
            </w:pPr>
            <w:r>
              <w:rPr>
                <w:rFonts w:ascii="Calibri" w:cs="Calibri" w:eastAsia="Calibri" w:hAnsi="Calibri"/>
                <w:color w:val="222222"/>
                <w:sz w:val="20"/>
                <w:szCs w:val="20"/>
              </w:rPr>
              <w:t xml:space="preserve">Internal Assessment</w:t>
            </w:r>
          </w:p>
        </w:tc>
        <w:tc>
          <w:tcPr>
            <w:tcW w:type="dxa" w:w="4650"/>
            <w:shd w:fill="F5F6F9" w:val="clear"/>
            <w:tcMar>
              <w:top w:type="dxa" w:w="90"/>
              <w:left w:type="dxa" w:w="120"/>
              <w:bottom w:type="dxa" w:w="90"/>
              <w:right w:type="dxa" w:w="120"/>
            </w:tcMar>
            <w:vAlign w:val="center"/>
          </w:tcPr>
          <w:p>
            <w:pPr>
              <w:jc w:val="center"/>
            </w:pPr>
            <w:r>
              <w:rPr>
                <w:rFonts w:ascii="Calibri" w:cs="Calibri" w:eastAsia="Calibri" w:hAnsi="Calibri"/>
                <w:color w:val="222222"/>
                <w:sz w:val="20"/>
                <w:szCs w:val="20"/>
              </w:rPr>
              <w:t xml:space="preserve">Unit tests, assignments, oral/practical work conducted through the year</w:t>
            </w:r>
          </w:p>
        </w:tc>
        <w:tc>
          <w:tcPr>
            <w:tcW w:type="dxa" w:w="1500"/>
            <w:shd w:fill="F5F6F9" w:val="clear"/>
            <w:tcMar>
              <w:top w:type="dxa" w:w="90"/>
              <w:left w:type="dxa" w:w="120"/>
              <w:bottom w:type="dxa" w:w="90"/>
              <w:right w:type="dxa" w:w="120"/>
            </w:tcMar>
            <w:vAlign w:val="center"/>
          </w:tcPr>
          <w:p>
            <w:pPr>
              <w:jc w:val="center"/>
            </w:pPr>
            <w:r>
              <w:rPr>
                <w:rFonts w:ascii="Calibri" w:cs="Calibri" w:eastAsia="Calibri" w:hAnsi="Calibri"/>
                <w:color w:val="222222"/>
                <w:sz w:val="20"/>
                <w:szCs w:val="20"/>
              </w:rPr>
              <w:t xml:space="preserve">20%</w:t>
            </w:r>
          </w:p>
        </w:tc>
      </w:tr>
    </w:tbl>
    <w:p>
      <w:pPr>
        <w:spacing w:before="240"/>
      </w:pPr>
    </w:p>
    <w:p>
      <w:pPr>
        <w:pStyle w:val="Heading2"/>
        <w:spacing w:after="160" w:before="320"/>
      </w:pPr>
      <w:r>
        <w:rPr>
          <w:rFonts w:ascii="Cambria" w:cs="Cambria" w:eastAsia="Cambria" w:hAnsi="Cambria"/>
          <w:b/>
          <w:bCs/>
          <w:color w:val="1B2A4A"/>
          <w:sz w:val="24"/>
          <w:szCs w:val="24"/>
        </w:rPr>
        <w:t xml:space="preserve">Passing Criteria</w:t>
      </w:r>
    </w:p>
    <w:p>
      <w:pPr>
        <w:pStyle w:val="ListParagraph"/>
        <w:numPr>
          <w:ilvl w:val="0"/>
          <w:numId w:val="2"/>
        </w:numPr>
        <w:spacing w:after="90"/>
      </w:pPr>
      <w:r>
        <w:rPr>
          <w:rFonts w:ascii="Calibri" w:cs="Calibri" w:eastAsia="Calibri" w:hAnsi="Calibri"/>
          <w:color w:val="222222"/>
          <w:sz w:val="22"/>
          <w:szCs w:val="22"/>
        </w:rPr>
        <w:t xml:space="preserve">A minimum of 35% marks is required overall in each subject to be declared pass — i.e. at least 35 out of 100.</w:t>
      </w:r>
    </w:p>
    <w:p>
      <w:pPr>
        <w:pStyle w:val="ListParagraph"/>
        <w:numPr>
          <w:ilvl w:val="0"/>
          <w:numId w:val="2"/>
        </w:numPr>
        <w:spacing w:after="90"/>
      </w:pPr>
      <w:r>
        <w:rPr>
          <w:rFonts w:ascii="Calibri" w:cs="Calibri" w:eastAsia="Calibri" w:hAnsi="Calibri"/>
          <w:color w:val="222222"/>
          <w:sz w:val="22"/>
          <w:szCs w:val="22"/>
        </w:rPr>
        <w:t xml:space="preserve">Within the theory paper, a minimum of 28 out of 80 marks is required.</w:t>
      </w:r>
    </w:p>
    <w:p>
      <w:pPr>
        <w:pStyle w:val="ListParagraph"/>
        <w:numPr>
          <w:ilvl w:val="0"/>
          <w:numId w:val="2"/>
        </w:numPr>
        <w:spacing w:after="90"/>
      </w:pPr>
      <w:r>
        <w:rPr>
          <w:rFonts w:ascii="Calibri" w:cs="Calibri" w:eastAsia="Calibri" w:hAnsi="Calibri"/>
          <w:color w:val="222222"/>
          <w:sz w:val="22"/>
          <w:szCs w:val="22"/>
        </w:rPr>
        <w:t xml:space="preserve">There is no negative marking for incorrect responses anywhere in the examination.</w:t>
      </w:r>
    </w:p>
    <w:p>
      <w:pPr>
        <w:pStyle w:val="ListParagraph"/>
        <w:numPr>
          <w:ilvl w:val="0"/>
          <w:numId w:val="2"/>
        </w:numPr>
        <w:spacing w:after="90"/>
      </w:pPr>
      <w:r>
        <w:rPr>
          <w:rFonts w:ascii="Calibri" w:cs="Calibri" w:eastAsia="Calibri" w:hAnsi="Calibri"/>
          <w:color w:val="222222"/>
          <w:sz w:val="22"/>
          <w:szCs w:val="22"/>
        </w:rPr>
        <w:t xml:space="preserve">Students who do not clear a subject may be eligible to appear for the supplementary examination conducted subsequently by the board.</w:t>
      </w:r>
    </w:p>
    <w:p>
      <w:pPr>
        <w:spacing w:before="100"/>
      </w:pPr>
    </w:p>
    <w:p>
      <w:pPr>
        <w:pStyle w:val="Heading2"/>
        <w:spacing w:after="160" w:before="320"/>
      </w:pPr>
      <w:r>
        <w:rPr>
          <w:rFonts w:ascii="Cambria" w:cs="Cambria" w:eastAsia="Cambria" w:hAnsi="Cambria"/>
          <w:b/>
          <w:bCs/>
          <w:color w:val="1B2A4A"/>
          <w:sz w:val="24"/>
          <w:szCs w:val="24"/>
        </w:rPr>
        <w:t xml:space="preserve">Question Type Distribution</w:t>
      </w:r>
    </w:p>
    <w:p>
      <w:pPr>
        <w:spacing w:after="160" w:line="300"/>
      </w:pPr>
      <w:r>
        <w:rPr>
          <w:rFonts w:ascii="Calibri" w:cs="Calibri" w:eastAsia="Calibri" w:hAnsi="Calibri"/>
          <w:color w:val="222222"/>
          <w:sz w:val="22"/>
          <w:szCs w:val="22"/>
        </w:rPr>
        <w:t xml:space="preserve">Across subjects, question papers are designed with a mix of question formats to assess different cognitive levels — from recall and understanding to application and analysis:</w:t>
      </w:r>
    </w:p>
    <w:p>
      <w:pPr>
        <w:pStyle w:val="ListParagraph"/>
        <w:numPr>
          <w:ilvl w:val="0"/>
          <w:numId w:val="2"/>
        </w:numPr>
        <w:spacing w:after="90"/>
      </w:pPr>
      <w:r>
        <w:rPr>
          <w:rFonts w:ascii="Calibri" w:cs="Calibri" w:eastAsia="Calibri" w:hAnsi="Calibri"/>
          <w:color w:val="222222"/>
          <w:sz w:val="22"/>
          <w:szCs w:val="22"/>
        </w:rPr>
        <w:t xml:space="preserve">Objective-type questions (MCQs, fill-in-the-blanks, one-word answers)</w:t>
      </w:r>
    </w:p>
    <w:p>
      <w:pPr>
        <w:pStyle w:val="ListParagraph"/>
        <w:numPr>
          <w:ilvl w:val="0"/>
          <w:numId w:val="2"/>
        </w:numPr>
        <w:spacing w:after="90"/>
      </w:pPr>
      <w:r>
        <w:rPr>
          <w:rFonts w:ascii="Calibri" w:cs="Calibri" w:eastAsia="Calibri" w:hAnsi="Calibri"/>
          <w:color w:val="222222"/>
          <w:sz w:val="22"/>
          <w:szCs w:val="22"/>
        </w:rPr>
        <w:t xml:space="preserve">Very short answer questions</w:t>
      </w:r>
    </w:p>
    <w:p>
      <w:pPr>
        <w:pStyle w:val="ListParagraph"/>
        <w:numPr>
          <w:ilvl w:val="0"/>
          <w:numId w:val="2"/>
        </w:numPr>
        <w:spacing w:after="90"/>
      </w:pPr>
      <w:r>
        <w:rPr>
          <w:rFonts w:ascii="Calibri" w:cs="Calibri" w:eastAsia="Calibri" w:hAnsi="Calibri"/>
          <w:color w:val="222222"/>
          <w:sz w:val="22"/>
          <w:szCs w:val="22"/>
        </w:rPr>
        <w:t xml:space="preserve">Short answer questions</w:t>
      </w:r>
    </w:p>
    <w:p>
      <w:pPr>
        <w:pStyle w:val="ListParagraph"/>
        <w:numPr>
          <w:ilvl w:val="0"/>
          <w:numId w:val="2"/>
        </w:numPr>
        <w:spacing w:after="90"/>
      </w:pPr>
      <w:r>
        <w:rPr>
          <w:rFonts w:ascii="Calibri" w:cs="Calibri" w:eastAsia="Calibri" w:hAnsi="Calibri"/>
          <w:color w:val="222222"/>
          <w:sz w:val="22"/>
          <w:szCs w:val="22"/>
        </w:rPr>
        <w:t xml:space="preserve">Long answer questions, generally with internal choice provided</w:t>
      </w:r>
    </w:p>
    <w:p>
      <w:pPr>
        <w:spacing w:before="100"/>
      </w:pPr>
    </w:p>
    <w:p>
      <w:pPr>
        <w:pStyle w:val="Heading2"/>
        <w:spacing w:after="160" w:before="320"/>
      </w:pPr>
      <w:r>
        <w:rPr>
          <w:rFonts w:ascii="Cambria" w:cs="Cambria" w:eastAsia="Cambria" w:hAnsi="Cambria"/>
          <w:b/>
          <w:bCs/>
          <w:color w:val="1B2A4A"/>
          <w:sz w:val="24"/>
          <w:szCs w:val="24"/>
        </w:rPr>
        <w:t xml:space="preserve">Grading System</w:t>
      </w:r>
    </w:p>
    <w:p>
      <w:pPr>
        <w:spacing w:after="160" w:line="300"/>
      </w:pPr>
      <w:r>
        <w:rPr>
          <w:rFonts w:ascii="Calibri" w:cs="Calibri" w:eastAsia="Calibri" w:hAnsi="Calibri"/>
          <w:color w:val="222222"/>
          <w:sz w:val="22"/>
          <w:szCs w:val="22"/>
        </w:rPr>
        <w:t xml:space="preserve">Alongside numerical marks, the board also reports performance using a grade-based system, helping students and institutions interpret results at a glance in addition to raw scores. Internal assessment components (unit tests, projects, oral work, and practical assessments conducted through the academic year) are factored into the final result together with the written theory paper.</w:t>
      </w:r>
    </w:p>
    <w:p>
      <w:pPr>
        <w:pStyle w:val="Heading1"/>
        <w:pBdr>
          <w:bottom w:val="single" w:color="C9962C" w:sz="6" w:space="6"/>
        </w:pBdr>
        <w:spacing w:after="240" w:before="480"/>
      </w:pPr>
      <w:r>
        <w:rPr>
          <w:rFonts w:ascii="Cambria" w:cs="Cambria" w:eastAsia="Cambria" w:hAnsi="Cambria"/>
          <w:b/>
          <w:bCs/>
          <w:color w:val="C9962C"/>
          <w:sz w:val="30"/>
          <w:szCs w:val="30"/>
        </w:rPr>
        <w:t xml:space="preserve">5.  </w:t>
      </w:r>
      <w:r>
        <w:rPr>
          <w:rFonts w:ascii="Cambria" w:cs="Cambria" w:eastAsia="Cambria" w:hAnsi="Cambria"/>
          <w:b/>
          <w:bCs/>
          <w:color w:val="1B2A4A"/>
          <w:sz w:val="30"/>
          <w:szCs w:val="30"/>
        </w:rPr>
        <w:t xml:space="preserve">Conclusion</w:t>
      </w:r>
    </w:p>
    <w:p>
      <w:pPr>
        <w:spacing w:after="160" w:line="300"/>
      </w:pPr>
      <w:r>
        <w:rPr>
          <w:rFonts w:ascii="Calibri" w:cs="Calibri" w:eastAsia="Calibri" w:hAnsi="Calibri"/>
          <w:color w:val="222222"/>
          <w:sz w:val="22"/>
          <w:szCs w:val="22"/>
        </w:rPr>
        <w:t xml:space="preserve">The Maharashtra SSC Exam Pattern is designed to provide a balanced assessment of a student's conceptual clarity, application ability, and consistent effort through the academic year, combining a substantial written theory component with meaningful internal assessment. Its structure — six subjects of 100 marks each, a 3-hour format, and a consistent 80:20 theory-to-internal split across most subjects — has remained largely stable, giving students a predictable framework to prepare against.</w:t>
      </w:r>
    </w:p>
    <w:p>
      <w:pPr>
        <w:spacing w:after="160" w:line="300"/>
      </w:pPr>
      <w:r>
        <w:rPr>
          <w:rFonts w:ascii="Calibri" w:cs="Calibri" w:eastAsia="Calibri" w:hAnsi="Calibri"/>
          <w:color w:val="222222"/>
          <w:sz w:val="22"/>
          <w:szCs w:val="22"/>
        </w:rPr>
        <w:t xml:space="preserve">A sound grasp of the exam pattern, subject-wise blueprint, and marking scheme allows students to plan their revision more efficiently, allocate time wisely during the examination, and approach the board exam with confidence. Combined with regular practice of sample papers and previous years' question papers, this understanding forms the foundation of a focused and effective SSC preparation strategy.</w:t>
      </w:r>
    </w:p>
    <w:tbl>
      <w:tblPr>
        <w:tblW w:type="dxa" w:w="9350"/>
        <w:tblBorders>
          <w:top w:val="single" w:color="C9962C" w:sz="4"/>
          <w:left w:val="single" w:color="C9962C" w:sz="4"/>
          <w:bottom w:val="single" w:color="C9962C" w:sz="4"/>
          <w:right w:val="single" w:color="C9962C" w:sz="4"/>
          <w:insideH w:val="none" w:color="FFFFFF" w:sz="0"/>
          <w:insideV w:val="none" w:color="FFFFFF" w:sz="0"/>
        </w:tblBorders>
      </w:tblPr>
      <w:tblGrid>
        <w:gridCol w:w="100"/>
      </w:tblGrid>
      <w:tr>
        <w:tc>
          <w:tcPr>
            <w:tcW w:type="dxa" w:w="9350"/>
            <w:shd w:fill="EEF2F8" w:val="clear"/>
            <w:tcMar>
              <w:top w:type="dxa" w:w="160"/>
              <w:left w:type="dxa" w:w="200"/>
              <w:bottom w:type="dxa" w:w="160"/>
              <w:right w:type="dxa" w:w="200"/>
            </w:tcMar>
          </w:tcPr>
          <w:p>
            <w:pPr>
              <w:spacing w:after="60"/>
            </w:pPr>
            <w:r>
              <w:rPr>
                <w:rFonts w:ascii="Cambria" w:cs="Cambria" w:eastAsia="Cambria" w:hAnsi="Cambria"/>
                <w:b/>
                <w:bCs/>
                <w:color w:val="1B2A4A"/>
                <w:sz w:val="22"/>
                <w:szCs w:val="22"/>
              </w:rPr>
              <w:t xml:space="preserve">Quick Preparation Tips</w:t>
            </w:r>
          </w:p>
          <w:p>
            <w:r>
              <w:rPr>
                <w:rFonts w:ascii="Calibri" w:cs="Calibri" w:eastAsia="Calibri" w:hAnsi="Calibri"/>
                <w:color w:val="222222"/>
                <w:sz w:val="21"/>
                <w:szCs w:val="21"/>
              </w:rPr>
              <w:t xml:space="preserve">Prioritise topics with higher weightage • Practise previous years’ papers under timed conditions • Take internal assessments seriously, as they contribute 20% to the final score • Revise using short notes closer to the exam • Always verify the latest timetable and any circulars on the official website mahahsscboard.in.</w:t>
            </w:r>
          </w:p>
        </w:tc>
      </w:tr>
    </w:tbl>
    <w:sectPr>
      <w:headerReference w:type="default" r:id="rId7"/>
      <w:footerReference w:type="default" r:id="rId8"/>
      <w:pgSz w:w="12240" w:h="15840" w:orient="portrait"/>
      <w:pgMar w:top="1300" w:right="1200" w:bottom="1300" w:left="12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Calibri" w:cs="Calibri" w:eastAsia="Calibri" w:hAnsi="Calibri"/>
        <w:color w:val="5B6472"/>
        <w:sz w:val="18"/>
        <w:szCs w:val="18"/>
      </w:rPr>
      <w:t xml:space="preserve">Page </w:t>
    </w:r>
    <w:r>
      <w:rPr>
        <w:rFonts w:ascii="Calibri" w:cs="Calibri" w:eastAsia="Calibri" w:hAnsi="Calibri"/>
        <w:color w:val="5B6472"/>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D9DCE3" w:sz="4" w:space="4"/>
      </w:pBdr>
      <w:tabs>
        <w:tab w:val="right" w:pos="9026"/>
      </w:tabs>
    </w:pPr>
    <w:r>
      <w:rPr>
        <w:rFonts w:ascii="Cambria" w:cs="Cambria" w:eastAsia="Cambria" w:hAnsi="Cambria"/>
        <w:i/>
        <w:iCs/>
        <w:color w:val="5B6472"/>
        <w:sz w:val="16"/>
        <w:szCs w:val="16"/>
      </w:rPr>
      <w:t xml:space="preserve">Maharashtra SSC Exam Pattern</w:t>
    </w:r>
    <w:r>
      <w:rPr>
        <w:rFonts w:ascii="Cambria" w:cs="Cambria" w:eastAsia="Cambria" w:hAnsi="Cambria"/>
        <w:i/>
        <w:iCs/>
        <w:color w:val="5B6472"/>
        <w:sz w:val="16"/>
        <w:szCs w:val="16"/>
      </w:rPr>
      <w:t xml:space="preserve">	MSBSHSE Class 10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20" w:hanging="260"/>
      </w:pPr>
      <w:rPr>
        <w:color w:val="C9962C"/>
      </w:rPr>
    </w:lvl>
    <w:lvl w:ilvl="1" w15:tentative="1">
      <w:start w:val="1"/>
      <w:numFmt w:val="bullet"/>
      <w:lvlText w:val="○"/>
      <w:lvlJc w:val="left"/>
      <w:pPr>
        <w:ind w:left="840" w:hanging="260"/>
      </w:pPr>
      <w:rPr>
        <w:color w:val="1B2A4A"/>
      </w:r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222222"/>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2026-07-10T11:40:05.987Z</dcterms:created>
  <dcterms:modified xsi:type="dcterms:W3CDTF">2026-07-10T11:40:06.002Z</dcterms:modified>
</cp:coreProperties>
</file>

<file path=docProps/custom.xml><?xml version="1.0" encoding="utf-8"?>
<Properties xmlns="http://schemas.openxmlformats.org/officeDocument/2006/custom-properties" xmlns:vt="http://schemas.openxmlformats.org/officeDocument/2006/docPropsVTypes"/>
</file>