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r>
        <w:t xml:space="preserve"/>
      </w:r>
    </w:p>
    <w:p>
      <w:pPr>
        <w:jc w:val="center"/>
      </w:pPr>
      <w:r>
        <w:rPr>
          <w:b/>
          <w:bCs/>
          <w:color w:val="595959"/>
          <w:spacing w:val="20"/>
          <w:sz w:val="32"/>
          <w:szCs w:val="32"/>
        </w:rPr>
        <w:t xml:space="preserve">DHSE KERALA</w:t>
      </w:r>
    </w:p>
    <w:p>
      <w:pPr>
        <w:spacing w:after="100" w:before="200"/>
        <w:jc w:val="center"/>
      </w:pPr>
      <w:r>
        <w:rPr>
          <w:b/>
          <w:bCs/>
          <w:color w:val="1B3A5C"/>
          <w:sz w:val="72"/>
          <w:szCs w:val="72"/>
        </w:rPr>
        <w:t xml:space="preserve">PLUS TWO</w:t>
      </w:r>
    </w:p>
    <w:p>
      <w:pPr>
        <w:spacing w:after="500"/>
        <w:jc w:val="center"/>
      </w:pPr>
      <w:r>
        <w:rPr>
          <w:b/>
          <w:bCs/>
          <w:color w:val="B8860B"/>
          <w:sz w:val="40"/>
          <w:szCs w:val="40"/>
        </w:rPr>
        <w:t xml:space="preserve">EXAM PREPARATION GUIDE</w:t>
      </w:r>
    </w:p>
    <w:p>
      <w:pPr>
        <w:pBdr>
          <w:top w:val="single" w:color="B8860B" w:sz="6" w:space="10"/>
        </w:pBdr>
        <w:spacing w:after="300" w:before="300"/>
        <w:jc w:val="center"/>
      </w:pPr>
      <w:r>
        <w:t xml:space="preserve"/>
      </w:r>
    </w:p>
    <w:p>
      <w:pPr>
        <w:spacing w:after="120"/>
        <w:jc w:val="center"/>
      </w:pPr>
      <w:r>
        <w:rPr>
          <w:i/>
          <w:iCs/>
          <w:color w:val="595959"/>
          <w:sz w:val="24"/>
          <w:szCs w:val="24"/>
        </w:rPr>
        <w:t xml:space="preserve">A Complete Strategy Guide for Class 12 (Higher Secondary) Students</w:t>
      </w:r>
    </w:p>
    <w:p>
      <w:pPr>
        <w:spacing w:after="60"/>
        <w:jc w:val="center"/>
      </w:pPr>
      <w:r>
        <w:rPr>
          <w:color w:val="595959"/>
          <w:sz w:val="22"/>
          <w:szCs w:val="22"/>
        </w:rPr>
        <w:t xml:space="preserve">Science • Commerce • Humanities</w:t>
      </w:r>
    </w:p>
    <w:p>
      <w:pPr>
        <w:spacing w:before="1600"/>
        <w:jc w:val="center"/>
      </w:pPr>
      <w:r>
        <w:rPr>
          <w:color w:val="595959"/>
          <w:sz w:val="20"/>
          <w:szCs w:val="20"/>
        </w:rPr>
        <w:t xml:space="preserve">Directorate of Higher Secondary Education, Kerala</w:t>
      </w:r>
    </w:p>
    <w:p>
      <w:pPr>
        <w:spacing w:after="1000"/>
        <w:jc w:val="center"/>
      </w:pPr>
      <w:r>
        <w:rPr>
          <w:color w:val="595959"/>
          <w:sz w:val="20"/>
          <w:szCs w:val="20"/>
        </w:rPr>
        <w:t xml:space="preserve">dhsekerala.gov.in</w:t>
      </w:r>
    </w:p>
    <w:p>
      <w:pPr>
        <w:sectPr>
          <w:pgSz w:w="12240" w:h="15840" w:orient="portrait"/>
          <w:pgMar w:top="0" w:right="0" w:bottom="0" w:left="0" w:header="708" w:footer="708" w:gutter="0"/>
          <w:pgNumType/>
          <w:docGrid w:linePitch="360"/>
        </w:sectPr>
      </w:pPr>
    </w:p>
    <w:p>
      <w:pPr>
        <w:pStyle w:val="Heading1"/>
        <w:pBdr>
          <w:bottom w:val="single" w:color="1B3A5C" w:sz="8" w:space="4"/>
        </w:pBdr>
        <w:spacing w:after="160" w:before="320"/>
      </w:pPr>
      <w:r>
        <w:rPr>
          <w:b/>
          <w:bCs/>
          <w:color w:val="1B3A5C"/>
        </w:rPr>
        <w:t xml:space="preserve">Introduction</w:t>
      </w:r>
    </w:p>
    <w:p>
      <w:pPr>
        <w:spacing w:after="160"/>
      </w:pPr>
      <w:r>
        <w:rPr>
          <w:sz w:val="22"/>
          <w:szCs w:val="22"/>
        </w:rPr>
        <w:t xml:space="preserve">The Kerala Plus Two examination — officially the Higher Secondary Examination (HSE) conducted by the Directorate of Higher Secondary Education (DHSE) — is one of the most important milestones in a student's academic life in Kerala. It determines eligibility for undergraduate admissions, entrance exams such as KEAM, and in many cases lays the foundation for professional courses ahead.</w:t>
      </w:r>
    </w:p>
    <w:p>
      <w:pPr>
        <w:spacing w:after="160"/>
      </w:pPr>
      <w:r>
        <w:rPr>
          <w:sz w:val="22"/>
          <w:szCs w:val="22"/>
        </w:rPr>
        <w:t xml:space="preserve">Each subject is evaluated out of 100 marks, made up of a Terminal Examination (TE), Continuous Evaluation (CE), and, for practical subjects, a Practical Examination (PE). Subjects without practicals carry an 80-mark theory paper, while subjects with practicals (Physics, Chemistry, Biology/Botany-Zoology) carry a 60-mark theory paper, with the balance from practicals and internal assessment. To pass, a student needs a D+ grade or above, with at least 30% overall (CE + PE + TE) and at least 30% in the TE alone.</w:t>
      </w:r>
    </w:p>
    <w:p>
      <w:pPr>
        <w:spacing w:after="160"/>
      </w:pPr>
      <w:r>
        <w:rPr>
          <w:sz w:val="22"/>
          <w:szCs w:val="22"/>
        </w:rPr>
        <w:t xml:space="preserve">This guide is designed to help you prepare systematically — covering exam structure, stream-specific and subject-wise tips, and overall strategies for time management, revision, and exam-day performance. Use it alongside the official DHSE textbooks and the chapter-wise weightage documents released each year, since all questions are set directly from the SCERT/DHSE syllabus.</w:t>
      </w:r>
    </w:p>
    <w:p>
      <w:pPr>
        <w:pStyle w:val="Heading2"/>
        <w:spacing w:after="100" w:before="220"/>
      </w:pPr>
      <w:r>
        <w:rPr>
          <w:b/>
          <w:bCs/>
          <w:color w:val="B8860B"/>
        </w:rPr>
        <w:t xml:space="preserve">Key Exam Facts at a Glance</w:t>
      </w:r>
    </w:p>
    <w:tbl>
      <w:tblPr>
        <w:tblW w:type="dxa" w:w="9200"/>
        <w:tblBorders>
          <w:top w:val="single" w:color="auto" w:sz="4"/>
          <w:left w:val="single" w:color="auto" w:sz="4"/>
          <w:bottom w:val="single" w:color="auto" w:sz="4"/>
          <w:right w:val="single" w:color="auto" w:sz="4"/>
          <w:insideH w:val="single" w:color="auto" w:sz="4"/>
          <w:insideV w:val="single" w:color="auto" w:sz="4"/>
        </w:tblBorders>
      </w:tblPr>
      <w:tblGrid>
        <w:gridCol w:w="3200"/>
        <w:gridCol w:w="6000"/>
      </w:tblGrid>
      <w:tr>
        <w:tc>
          <w:tcPr>
            <w:tcW w:type="dxa" w:w="3200"/>
            <w:shd w:fill="EFEFEF" w:val="clear"/>
            <w:tcMar>
              <w:top w:type="dxa" w:w="100"/>
              <w:left w:type="dxa" w:w="150"/>
              <w:bottom w:type="dxa" w:w="100"/>
              <w:right w:type="dxa" w:w="150"/>
            </w:tcMar>
            <w:vAlign w:val="center"/>
          </w:tcPr>
          <w:p>
            <w:r>
              <w:rPr>
                <w:b/>
                <w:bCs/>
                <w:sz w:val="20"/>
                <w:szCs w:val="20"/>
              </w:rPr>
              <w:t xml:space="preserve">Total marks per subject</w:t>
            </w:r>
          </w:p>
        </w:tc>
        <w:tc>
          <w:tcPr>
            <w:tcW w:type="dxa" w:w="6000"/>
            <w:shd w:fill="EFEFEF" w:val="clear"/>
            <w:tcMar>
              <w:top w:type="dxa" w:w="100"/>
              <w:left w:type="dxa" w:w="150"/>
              <w:bottom w:type="dxa" w:w="100"/>
              <w:right w:type="dxa" w:w="150"/>
            </w:tcMar>
            <w:vAlign w:val="center"/>
          </w:tcPr>
          <w:p>
            <w:r>
              <w:rPr>
                <w:sz w:val="20"/>
                <w:szCs w:val="20"/>
              </w:rPr>
              <w:t xml:space="preserve">100 (Theory + CE + PE, as applicable)</w:t>
            </w:r>
          </w:p>
        </w:tc>
      </w:tr>
      <w:tr>
        <w:tc>
          <w:tcPr>
            <w:tcW w:type="dxa" w:w="3200"/>
            <w:tcMar>
              <w:top w:type="dxa" w:w="100"/>
              <w:left w:type="dxa" w:w="150"/>
              <w:bottom w:type="dxa" w:w="100"/>
              <w:right w:type="dxa" w:w="150"/>
            </w:tcMar>
            <w:vAlign w:val="center"/>
          </w:tcPr>
          <w:p>
            <w:r>
              <w:rPr>
                <w:b/>
                <w:bCs/>
                <w:sz w:val="20"/>
                <w:szCs w:val="20"/>
              </w:rPr>
              <w:t xml:space="preserve">Theory paper (no practical)</w:t>
            </w:r>
          </w:p>
        </w:tc>
        <w:tc>
          <w:tcPr>
            <w:tcW w:type="dxa" w:w="6000"/>
            <w:tcMar>
              <w:top w:type="dxa" w:w="100"/>
              <w:left w:type="dxa" w:w="150"/>
              <w:bottom w:type="dxa" w:w="100"/>
              <w:right w:type="dxa" w:w="150"/>
            </w:tcMar>
            <w:vAlign w:val="center"/>
          </w:tcPr>
          <w:p>
            <w:r>
              <w:rPr>
                <w:sz w:val="20"/>
                <w:szCs w:val="20"/>
              </w:rPr>
              <w:t xml:space="preserve">80 marks</w:t>
            </w:r>
          </w:p>
        </w:tc>
      </w:tr>
      <w:tr>
        <w:tc>
          <w:tcPr>
            <w:tcW w:type="dxa" w:w="3200"/>
            <w:shd w:fill="EFEFEF" w:val="clear"/>
            <w:tcMar>
              <w:top w:type="dxa" w:w="100"/>
              <w:left w:type="dxa" w:w="150"/>
              <w:bottom w:type="dxa" w:w="100"/>
              <w:right w:type="dxa" w:w="150"/>
            </w:tcMar>
            <w:vAlign w:val="center"/>
          </w:tcPr>
          <w:p>
            <w:r>
              <w:rPr>
                <w:b/>
                <w:bCs/>
                <w:sz w:val="20"/>
                <w:szCs w:val="20"/>
              </w:rPr>
              <w:t xml:space="preserve">Theory paper (with practical – Physics, Chemistry, Biology)</w:t>
            </w:r>
          </w:p>
        </w:tc>
        <w:tc>
          <w:tcPr>
            <w:tcW w:type="dxa" w:w="6000"/>
            <w:shd w:fill="EFEFEF" w:val="clear"/>
            <w:tcMar>
              <w:top w:type="dxa" w:w="100"/>
              <w:left w:type="dxa" w:w="150"/>
              <w:bottom w:type="dxa" w:w="100"/>
              <w:right w:type="dxa" w:w="150"/>
            </w:tcMar>
            <w:vAlign w:val="center"/>
          </w:tcPr>
          <w:p>
            <w:r>
              <w:rPr>
                <w:sz w:val="20"/>
                <w:szCs w:val="20"/>
              </w:rPr>
              <w:t xml:space="preserve">60 marks (+40 for practical/internal)</w:t>
            </w:r>
          </w:p>
        </w:tc>
      </w:tr>
      <w:tr>
        <w:tc>
          <w:tcPr>
            <w:tcW w:type="dxa" w:w="3200"/>
            <w:tcMar>
              <w:top w:type="dxa" w:w="100"/>
              <w:left w:type="dxa" w:w="150"/>
              <w:bottom w:type="dxa" w:w="100"/>
              <w:right w:type="dxa" w:w="150"/>
            </w:tcMar>
            <w:vAlign w:val="center"/>
          </w:tcPr>
          <w:p>
            <w:r>
              <w:rPr>
                <w:b/>
                <w:bCs/>
                <w:sz w:val="20"/>
                <w:szCs w:val="20"/>
              </w:rPr>
              <w:t xml:space="preserve">Exam duration</w:t>
            </w:r>
          </w:p>
        </w:tc>
        <w:tc>
          <w:tcPr>
            <w:tcW w:type="dxa" w:w="6000"/>
            <w:tcMar>
              <w:top w:type="dxa" w:w="100"/>
              <w:left w:type="dxa" w:w="150"/>
              <w:bottom w:type="dxa" w:w="100"/>
              <w:right w:type="dxa" w:w="150"/>
            </w:tcMar>
            <w:vAlign w:val="center"/>
          </w:tcPr>
          <w:p>
            <w:r>
              <w:rPr>
                <w:sz w:val="20"/>
                <w:szCs w:val="20"/>
              </w:rPr>
              <w:t xml:space="preserve">2 to 2.5 hours, plus 15 minutes' cool-off time</w:t>
            </w:r>
          </w:p>
        </w:tc>
      </w:tr>
      <w:tr>
        <w:tc>
          <w:tcPr>
            <w:tcW w:type="dxa" w:w="3200"/>
            <w:shd w:fill="EFEFEF" w:val="clear"/>
            <w:tcMar>
              <w:top w:type="dxa" w:w="100"/>
              <w:left w:type="dxa" w:w="150"/>
              <w:bottom w:type="dxa" w:w="100"/>
              <w:right w:type="dxa" w:w="150"/>
            </w:tcMar>
            <w:vAlign w:val="center"/>
          </w:tcPr>
          <w:p>
            <w:r>
              <w:rPr>
                <w:b/>
                <w:bCs/>
                <w:sz w:val="20"/>
                <w:szCs w:val="20"/>
              </w:rPr>
              <w:t xml:space="preserve">Passing criteria</w:t>
            </w:r>
          </w:p>
        </w:tc>
        <w:tc>
          <w:tcPr>
            <w:tcW w:type="dxa" w:w="6000"/>
            <w:shd w:fill="EFEFEF" w:val="clear"/>
            <w:tcMar>
              <w:top w:type="dxa" w:w="100"/>
              <w:left w:type="dxa" w:w="150"/>
              <w:bottom w:type="dxa" w:w="100"/>
              <w:right w:type="dxa" w:w="150"/>
            </w:tcMar>
            <w:vAlign w:val="center"/>
          </w:tcPr>
          <w:p>
            <w:r>
              <w:rPr>
                <w:sz w:val="20"/>
                <w:szCs w:val="20"/>
              </w:rPr>
              <w:t xml:space="preserve">D+ grade; minimum 30% overall and 30% in TE separately</w:t>
            </w:r>
          </w:p>
        </w:tc>
      </w:tr>
      <w:tr>
        <w:tc>
          <w:tcPr>
            <w:tcW w:type="dxa" w:w="3200"/>
            <w:tcMar>
              <w:top w:type="dxa" w:w="100"/>
              <w:left w:type="dxa" w:w="150"/>
              <w:bottom w:type="dxa" w:w="100"/>
              <w:right w:type="dxa" w:w="150"/>
            </w:tcMar>
            <w:vAlign w:val="center"/>
          </w:tcPr>
          <w:p>
            <w:r>
              <w:rPr>
                <w:b/>
                <w:bCs/>
                <w:sz w:val="20"/>
                <w:szCs w:val="20"/>
              </w:rPr>
              <w:t xml:space="preserve">Question paper</w:t>
            </w:r>
          </w:p>
        </w:tc>
        <w:tc>
          <w:tcPr>
            <w:tcW w:type="dxa" w:w="6000"/>
            <w:tcMar>
              <w:top w:type="dxa" w:w="100"/>
              <w:left w:type="dxa" w:w="150"/>
              <w:bottom w:type="dxa" w:w="100"/>
              <w:right w:type="dxa" w:w="150"/>
            </w:tcMar>
            <w:vAlign w:val="center"/>
          </w:tcPr>
          <w:p>
            <w:r>
              <w:rPr>
                <w:sz w:val="20"/>
                <w:szCs w:val="20"/>
              </w:rPr>
              <w:t xml:space="preserve">Objective, short answer, and long/essay-type questions with internal choices</w:t>
            </w:r>
          </w:p>
        </w:tc>
      </w:tr>
      <w:tr>
        <w:tc>
          <w:tcPr>
            <w:tcW w:type="dxa" w:w="3200"/>
            <w:shd w:fill="EFEFEF" w:val="clear"/>
            <w:tcMar>
              <w:top w:type="dxa" w:w="100"/>
              <w:left w:type="dxa" w:w="150"/>
              <w:bottom w:type="dxa" w:w="100"/>
              <w:right w:type="dxa" w:w="150"/>
            </w:tcMar>
            <w:vAlign w:val="center"/>
          </w:tcPr>
          <w:p>
            <w:r>
              <w:rPr>
                <w:b/>
                <w:bCs/>
                <w:sz w:val="20"/>
                <w:szCs w:val="20"/>
              </w:rPr>
              <w:t xml:space="preserve">Grading</w:t>
            </w:r>
          </w:p>
        </w:tc>
        <w:tc>
          <w:tcPr>
            <w:tcW w:type="dxa" w:w="6000"/>
            <w:shd w:fill="EFEFEF" w:val="clear"/>
            <w:tcMar>
              <w:top w:type="dxa" w:w="100"/>
              <w:left w:type="dxa" w:w="150"/>
              <w:bottom w:type="dxa" w:w="100"/>
              <w:right w:type="dxa" w:w="150"/>
            </w:tcMar>
            <w:vAlign w:val="center"/>
          </w:tcPr>
          <w:p>
            <w:r>
              <w:rPr>
                <w:sz w:val="20"/>
                <w:szCs w:val="20"/>
              </w:rPr>
              <w:t xml:space="preserve">A+ (90–100) down to E (below 20), with grade points</w:t>
            </w:r>
          </w:p>
        </w:tc>
      </w:tr>
    </w:tbl>
    <w:p>
      <w:r>
        <w:br w:type="page"/>
      </w:r>
    </w:p>
    <w:p>
      <w:pPr>
        <w:pStyle w:val="Heading1"/>
        <w:pBdr>
          <w:bottom w:val="single" w:color="1B3A5C" w:sz="8" w:space="4"/>
        </w:pBdr>
        <w:spacing w:after="160" w:before="320"/>
      </w:pPr>
      <w:r>
        <w:rPr>
          <w:b/>
          <w:bCs/>
          <w:color w:val="1B3A5C"/>
        </w:rPr>
        <w:t xml:space="preserve">Section-wise Preparation Tips</w:t>
      </w:r>
    </w:p>
    <w:p>
      <w:pPr>
        <w:spacing w:after="160"/>
      </w:pPr>
      <w:r>
        <w:rPr>
          <w:sz w:val="22"/>
          <w:szCs w:val="22"/>
        </w:rPr>
        <w:t xml:space="preserve">Preparation strategy differs by subject type — memory-based humanities subjects reward structured, mapped-out answers, while science and maths reward accuracy, formula recall, and neat working. Below are targeted tips grouped by subject.</w:t>
      </w:r>
    </w:p>
    <w:p>
      <w:pPr>
        <w:pStyle w:val="Heading2"/>
        <w:spacing w:after="100" w:before="220"/>
      </w:pPr>
      <w:r>
        <w:rPr>
          <w:b/>
          <w:bCs/>
          <w:color w:val="1B3A5C"/>
        </w:rPr>
        <w:t xml:space="preserve">Physics</w:t>
      </w:r>
    </w:p>
    <w:p>
      <w:pPr>
        <w:pStyle w:val="ListParagraph"/>
        <w:numPr>
          <w:ilvl w:val="0"/>
          <w:numId w:val="2"/>
        </w:numPr>
        <w:spacing w:after="100"/>
      </w:pPr>
      <w:r>
        <w:rPr>
          <w:sz w:val="22"/>
          <w:szCs w:val="22"/>
        </w:rPr>
        <w:t xml:space="preserve">Focus on derivations, numericals, and diagrams — these carry heavy weightage every year.</w:t>
      </w:r>
    </w:p>
    <w:p>
      <w:pPr>
        <w:pStyle w:val="ListParagraph"/>
        <w:numPr>
          <w:ilvl w:val="0"/>
          <w:numId w:val="2"/>
        </w:numPr>
        <w:spacing w:after="100"/>
      </w:pPr>
      <w:r>
        <w:rPr>
          <w:sz w:val="22"/>
          <w:szCs w:val="22"/>
        </w:rPr>
        <w:t xml:space="preserve">Keep a formula sheet for each chapter and revise it daily in the last month.</w:t>
      </w:r>
    </w:p>
    <w:p>
      <w:pPr>
        <w:pStyle w:val="ListParagraph"/>
        <w:numPr>
          <w:ilvl w:val="0"/>
          <w:numId w:val="2"/>
        </w:numPr>
        <w:spacing w:after="100"/>
      </w:pPr>
      <w:r>
        <w:rPr>
          <w:sz w:val="22"/>
          <w:szCs w:val="22"/>
        </w:rPr>
        <w:t xml:space="preserve">Practice previous years' and model question papers under timed conditions.</w:t>
      </w:r>
    </w:p>
    <w:p>
      <w:pPr>
        <w:pStyle w:val="ListParagraph"/>
        <w:numPr>
          <w:ilvl w:val="0"/>
          <w:numId w:val="2"/>
        </w:numPr>
        <w:spacing w:after="100"/>
      </w:pPr>
      <w:r>
        <w:rPr>
          <w:sz w:val="22"/>
          <w:szCs w:val="22"/>
        </w:rPr>
        <w:t xml:space="preserve">Draw circuit and ray diagrams neatly; labelled diagrams often fetch part marks even if the final answer is wrong.</w:t>
      </w:r>
    </w:p>
    <w:p>
      <w:pPr>
        <w:pStyle w:val="Heading2"/>
        <w:spacing w:after="100" w:before="220"/>
      </w:pPr>
      <w:r>
        <w:rPr>
          <w:b/>
          <w:bCs/>
          <w:color w:val="1B3A5C"/>
        </w:rPr>
        <w:t xml:space="preserve">Chemistry</w:t>
      </w:r>
    </w:p>
    <w:p>
      <w:pPr>
        <w:pStyle w:val="ListParagraph"/>
        <w:numPr>
          <w:ilvl w:val="0"/>
          <w:numId w:val="2"/>
        </w:numPr>
        <w:spacing w:after="100"/>
      </w:pPr>
      <w:r>
        <w:rPr>
          <w:sz w:val="22"/>
          <w:szCs w:val="22"/>
        </w:rPr>
        <w:t xml:space="preserve">Organic chemistry reactions and mechanisms should be practised by writing them out, not just reading.</w:t>
      </w:r>
    </w:p>
    <w:p>
      <w:pPr>
        <w:pStyle w:val="ListParagraph"/>
        <w:numPr>
          <w:ilvl w:val="0"/>
          <w:numId w:val="2"/>
        </w:numPr>
        <w:spacing w:after="100"/>
      </w:pPr>
      <w:r>
        <w:rPr>
          <w:sz w:val="22"/>
          <w:szCs w:val="22"/>
        </w:rPr>
        <w:t xml:space="preserve">Memorise IUPAC nomenclature rules and named reactions with conditions.</w:t>
      </w:r>
    </w:p>
    <w:p>
      <w:pPr>
        <w:pStyle w:val="ListParagraph"/>
        <w:numPr>
          <w:ilvl w:val="0"/>
          <w:numId w:val="2"/>
        </w:numPr>
        <w:spacing w:after="100"/>
      </w:pPr>
      <w:r>
        <w:rPr>
          <w:sz w:val="22"/>
          <w:szCs w:val="22"/>
        </w:rPr>
        <w:t xml:space="preserve">For Physical Chemistry, practice numerical problems on mole concept, electrochemistry, and kinetics regularly.</w:t>
      </w:r>
    </w:p>
    <w:p>
      <w:pPr>
        <w:pStyle w:val="ListParagraph"/>
        <w:numPr>
          <w:ilvl w:val="0"/>
          <w:numId w:val="2"/>
        </w:numPr>
        <w:spacing w:after="100"/>
      </w:pPr>
      <w:r>
        <w:rPr>
          <w:sz w:val="22"/>
          <w:szCs w:val="22"/>
        </w:rPr>
        <w:t xml:space="preserve">Revise the periodic table trends and coordination chemistry concepts using short notes.</w:t>
      </w:r>
    </w:p>
    <w:p>
      <w:pPr>
        <w:pStyle w:val="Heading2"/>
        <w:spacing w:after="100" w:before="220"/>
      </w:pPr>
      <w:r>
        <w:rPr>
          <w:b/>
          <w:bCs/>
          <w:color w:val="1B3A5C"/>
        </w:rPr>
        <w:t xml:space="preserve">Mathematics</w:t>
      </w:r>
    </w:p>
    <w:p>
      <w:pPr>
        <w:pStyle w:val="ListParagraph"/>
        <w:numPr>
          <w:ilvl w:val="0"/>
          <w:numId w:val="2"/>
        </w:numPr>
        <w:spacing w:after="100"/>
      </w:pPr>
      <w:r>
        <w:rPr>
          <w:sz w:val="22"/>
          <w:szCs w:val="22"/>
        </w:rPr>
        <w:t xml:space="preserve">Practice is non-negotiable — solve a wide variety of problems from every chapter, not just the easy ones.</w:t>
      </w:r>
    </w:p>
    <w:p>
      <w:pPr>
        <w:pStyle w:val="ListParagraph"/>
        <w:numPr>
          <w:ilvl w:val="0"/>
          <w:numId w:val="2"/>
        </w:numPr>
        <w:spacing w:after="100"/>
      </w:pPr>
      <w:r>
        <w:rPr>
          <w:sz w:val="22"/>
          <w:szCs w:val="22"/>
        </w:rPr>
        <w:t xml:space="preserve">Pay special attention to Calculus, Vectors, and Probability, which usually carry high weightage.</w:t>
      </w:r>
    </w:p>
    <w:p>
      <w:pPr>
        <w:pStyle w:val="ListParagraph"/>
        <w:numPr>
          <w:ilvl w:val="0"/>
          <w:numId w:val="2"/>
        </w:numPr>
        <w:spacing w:after="100"/>
      </w:pPr>
      <w:r>
        <w:rPr>
          <w:sz w:val="22"/>
          <w:szCs w:val="22"/>
        </w:rPr>
        <w:t xml:space="preserve">Maintain a separate notebook for formulas and standard results for quick last-minute revision.</w:t>
      </w:r>
    </w:p>
    <w:p>
      <w:pPr>
        <w:pStyle w:val="ListParagraph"/>
        <w:numPr>
          <w:ilvl w:val="0"/>
          <w:numId w:val="2"/>
        </w:numPr>
        <w:spacing w:after="100"/>
      </w:pPr>
      <w:r>
        <w:rPr>
          <w:sz w:val="22"/>
          <w:szCs w:val="22"/>
        </w:rPr>
        <w:t xml:space="preserve">Show all steps clearly in your answers; Kerala board evaluation awards step-wise marks.</w:t>
      </w:r>
    </w:p>
    <w:p>
      <w:pPr>
        <w:pStyle w:val="Heading2"/>
        <w:spacing w:after="100" w:before="220"/>
      </w:pPr>
      <w:r>
        <w:rPr>
          <w:b/>
          <w:bCs/>
          <w:color w:val="2E7D32"/>
        </w:rPr>
        <w:t xml:space="preserve">Biology (Botany &amp; Zoology)</w:t>
      </w:r>
    </w:p>
    <w:p>
      <w:pPr>
        <w:pStyle w:val="ListParagraph"/>
        <w:numPr>
          <w:ilvl w:val="0"/>
          <w:numId w:val="2"/>
        </w:numPr>
        <w:spacing w:after="100"/>
      </w:pPr>
      <w:r>
        <w:rPr>
          <w:sz w:val="22"/>
          <w:szCs w:val="22"/>
        </w:rPr>
        <w:t xml:space="preserve">Diagrams are extremely important — practice drawing and labelling structures like the human heart, nephron, and plant tissues.</w:t>
      </w:r>
    </w:p>
    <w:p>
      <w:pPr>
        <w:pStyle w:val="ListParagraph"/>
        <w:numPr>
          <w:ilvl w:val="0"/>
          <w:numId w:val="2"/>
        </w:numPr>
        <w:spacing w:after="100"/>
      </w:pPr>
      <w:r>
        <w:rPr>
          <w:sz w:val="22"/>
          <w:szCs w:val="22"/>
        </w:rPr>
        <w:t xml:space="preserve">Use mnemonics for classification, taxonomy, and biological terms that are easy to mix up.</w:t>
      </w:r>
    </w:p>
    <w:p>
      <w:pPr>
        <w:pStyle w:val="ListParagraph"/>
        <w:numPr>
          <w:ilvl w:val="0"/>
          <w:numId w:val="2"/>
        </w:numPr>
        <w:spacing w:after="100"/>
      </w:pPr>
      <w:r>
        <w:rPr>
          <w:sz w:val="22"/>
          <w:szCs w:val="22"/>
        </w:rPr>
        <w:t xml:space="preserve">Revise both Botany and Zoology equally since the paper is split into two 30-mark parts.</w:t>
      </w:r>
    </w:p>
    <w:p>
      <w:pPr>
        <w:pStyle w:val="ListParagraph"/>
        <w:numPr>
          <w:ilvl w:val="0"/>
          <w:numId w:val="2"/>
        </w:numPr>
        <w:spacing w:after="100"/>
      </w:pPr>
      <w:r>
        <w:rPr>
          <w:sz w:val="22"/>
          <w:szCs w:val="22"/>
        </w:rPr>
        <w:t xml:space="preserve">Relate concepts to NCERT/SCERT diagrams exactly as given in the textbook, since evaluators match answers to the prescribed figures.</w:t>
      </w:r>
    </w:p>
    <w:p>
      <w:pPr>
        <w:pStyle w:val="Heading2"/>
        <w:spacing w:after="100" w:before="220"/>
      </w:pPr>
      <w:r>
        <w:rPr>
          <w:b/>
          <w:bCs/>
          <w:color w:val="2E7D32"/>
        </w:rPr>
        <w:t xml:space="preserve">Computer Science / Computer Application</w:t>
      </w:r>
    </w:p>
    <w:p>
      <w:pPr>
        <w:pStyle w:val="ListParagraph"/>
        <w:numPr>
          <w:ilvl w:val="0"/>
          <w:numId w:val="2"/>
        </w:numPr>
        <w:spacing w:after="100"/>
      </w:pPr>
      <w:r>
        <w:rPr>
          <w:sz w:val="22"/>
          <w:szCs w:val="22"/>
        </w:rPr>
        <w:t xml:space="preserve">Practice writing complete programs by hand, including syntax and indentation.</w:t>
      </w:r>
    </w:p>
    <w:p>
      <w:pPr>
        <w:pStyle w:val="ListParagraph"/>
        <w:numPr>
          <w:ilvl w:val="0"/>
          <w:numId w:val="2"/>
        </w:numPr>
        <w:spacing w:after="100"/>
      </w:pPr>
      <w:r>
        <w:rPr>
          <w:sz w:val="22"/>
          <w:szCs w:val="22"/>
        </w:rPr>
        <w:t xml:space="preserve">Revise database concepts, networking basics, and number systems with worked examples.</w:t>
      </w:r>
    </w:p>
    <w:p>
      <w:pPr>
        <w:pStyle w:val="ListParagraph"/>
        <w:numPr>
          <w:ilvl w:val="0"/>
          <w:numId w:val="2"/>
        </w:numPr>
        <w:spacing w:after="100"/>
      </w:pPr>
      <w:r>
        <w:rPr>
          <w:sz w:val="22"/>
          <w:szCs w:val="22"/>
        </w:rPr>
        <w:t xml:space="preserve">Solve at least one previous year's practical/theory model paper end-to-end.</w:t>
      </w:r>
    </w:p>
    <w:p>
      <w:pPr>
        <w:pStyle w:val="Heading2"/>
        <w:spacing w:after="100" w:before="220"/>
      </w:pPr>
      <w:r>
        <w:rPr>
          <w:b/>
          <w:bCs/>
          <w:color w:val="2E7D32"/>
        </w:rPr>
        <w:t xml:space="preserve">Business Studies &amp; Accountancy</w:t>
      </w:r>
    </w:p>
    <w:p>
      <w:pPr>
        <w:pStyle w:val="ListParagraph"/>
        <w:numPr>
          <w:ilvl w:val="0"/>
          <w:numId w:val="2"/>
        </w:numPr>
        <w:spacing w:after="100"/>
      </w:pPr>
      <w:r>
        <w:rPr>
          <w:sz w:val="22"/>
          <w:szCs w:val="22"/>
        </w:rPr>
        <w:t xml:space="preserve">For Accountancy, practice ledger, journal, and final account problems repeatedly — speed and accuracy matter.</w:t>
      </w:r>
    </w:p>
    <w:p>
      <w:pPr>
        <w:pStyle w:val="ListParagraph"/>
        <w:numPr>
          <w:ilvl w:val="0"/>
          <w:numId w:val="2"/>
        </w:numPr>
        <w:spacing w:after="100"/>
      </w:pPr>
      <w:r>
        <w:rPr>
          <w:sz w:val="22"/>
          <w:szCs w:val="22"/>
        </w:rPr>
        <w:t xml:space="preserve">In Business Studies, structure answers with clear headings and points; case-based questions need practical application, not just theory.</w:t>
      </w:r>
    </w:p>
    <w:p>
      <w:pPr>
        <w:pStyle w:val="ListParagraph"/>
        <w:numPr>
          <w:ilvl w:val="0"/>
          <w:numId w:val="2"/>
        </w:numPr>
        <w:spacing w:after="100"/>
      </w:pPr>
      <w:r>
        <w:rPr>
          <w:sz w:val="22"/>
          <w:szCs w:val="22"/>
        </w:rPr>
        <w:t xml:space="preserve">Keep formats for financial statements and standard journal entries memorised.</w:t>
      </w:r>
    </w:p>
    <w:p>
      <w:pPr>
        <w:pStyle w:val="Heading2"/>
        <w:spacing w:after="100" w:before="220"/>
      </w:pPr>
      <w:r>
        <w:rPr>
          <w:b/>
          <w:bCs/>
          <w:color w:val="2E7D32"/>
        </w:rPr>
        <w:t xml:space="preserve">Economics</w:t>
      </w:r>
    </w:p>
    <w:p>
      <w:pPr>
        <w:pStyle w:val="ListParagraph"/>
        <w:numPr>
          <w:ilvl w:val="0"/>
          <w:numId w:val="2"/>
        </w:numPr>
        <w:spacing w:after="100"/>
      </w:pPr>
      <w:r>
        <w:rPr>
          <w:sz w:val="22"/>
          <w:szCs w:val="22"/>
        </w:rPr>
        <w:t xml:space="preserve">Practice diagrams and graphs (demand-supply curves, cost curves) as these are frequently asked.</w:t>
      </w:r>
    </w:p>
    <w:p>
      <w:pPr>
        <w:pStyle w:val="ListParagraph"/>
        <w:numPr>
          <w:ilvl w:val="0"/>
          <w:numId w:val="2"/>
        </w:numPr>
        <w:spacing w:after="100"/>
      </w:pPr>
      <w:r>
        <w:rPr>
          <w:sz w:val="22"/>
          <w:szCs w:val="22"/>
        </w:rPr>
        <w:t xml:space="preserve">Revise definitions and formulas precisely, since Economics numericals depend on exact terms.</w:t>
      </w:r>
    </w:p>
    <w:p>
      <w:pPr>
        <w:pStyle w:val="ListParagraph"/>
        <w:numPr>
          <w:ilvl w:val="0"/>
          <w:numId w:val="2"/>
        </w:numPr>
        <w:spacing w:after="100"/>
      </w:pPr>
      <w:r>
        <w:rPr>
          <w:sz w:val="22"/>
          <w:szCs w:val="22"/>
        </w:rPr>
        <w:t xml:space="preserve">Link theoretical concepts to real-world/current examples for analytical questions.</w:t>
      </w:r>
    </w:p>
    <w:p>
      <w:pPr>
        <w:pStyle w:val="Heading2"/>
        <w:spacing w:after="100" w:before="220"/>
      </w:pPr>
      <w:r>
        <w:rPr>
          <w:b/>
          <w:bCs/>
          <w:color w:val="2E7D32"/>
        </w:rPr>
        <w:t xml:space="preserve">History, Political Science &amp; Geography</w:t>
      </w:r>
    </w:p>
    <w:p>
      <w:pPr>
        <w:pStyle w:val="ListParagraph"/>
        <w:numPr>
          <w:ilvl w:val="0"/>
          <w:numId w:val="2"/>
        </w:numPr>
        <w:spacing w:after="100"/>
      </w:pPr>
      <w:r>
        <w:rPr>
          <w:sz w:val="22"/>
          <w:szCs w:val="22"/>
        </w:rPr>
        <w:t xml:space="preserve">History questions may include map-based components — practice locating and marking key places accurately.</w:t>
      </w:r>
    </w:p>
    <w:p>
      <w:pPr>
        <w:pStyle w:val="ListParagraph"/>
        <w:numPr>
          <w:ilvl w:val="0"/>
          <w:numId w:val="2"/>
        </w:numPr>
        <w:spacing w:after="100"/>
      </w:pPr>
      <w:r>
        <w:rPr>
          <w:sz w:val="22"/>
          <w:szCs w:val="22"/>
        </w:rPr>
        <w:t xml:space="preserve">Prepare timelines and cause-effect chains for major events rather than memorising isolated facts.</w:t>
      </w:r>
    </w:p>
    <w:p>
      <w:pPr>
        <w:pStyle w:val="ListParagraph"/>
        <w:numPr>
          <w:ilvl w:val="0"/>
          <w:numId w:val="2"/>
        </w:numPr>
        <w:spacing w:after="100"/>
      </w:pPr>
      <w:r>
        <w:rPr>
          <w:sz w:val="22"/>
          <w:szCs w:val="22"/>
        </w:rPr>
        <w:t xml:space="preserve">Political Science rewards a mix of factual recall and analytical, well-structured answers — practice writing within word/mark limits.</w:t>
      </w:r>
    </w:p>
    <w:p>
      <w:pPr>
        <w:pStyle w:val="ListParagraph"/>
        <w:numPr>
          <w:ilvl w:val="0"/>
          <w:numId w:val="2"/>
        </w:numPr>
        <w:spacing w:after="100"/>
      </w:pPr>
      <w:r>
        <w:rPr>
          <w:sz w:val="22"/>
          <w:szCs w:val="22"/>
        </w:rPr>
        <w:t xml:space="preserve">For Geography, practice map work and diagrams alongside written answers.</w:t>
      </w:r>
    </w:p>
    <w:p>
      <w:pPr>
        <w:pStyle w:val="Heading2"/>
        <w:spacing w:after="100" w:before="220"/>
      </w:pPr>
      <w:r>
        <w:rPr>
          <w:b/>
          <w:bCs/>
          <w:color w:val="2E7D32"/>
        </w:rPr>
        <w:t xml:space="preserve">English &amp; Second Languages (Malayalam/Hindi)</w:t>
      </w:r>
    </w:p>
    <w:p>
      <w:pPr>
        <w:pStyle w:val="ListParagraph"/>
        <w:numPr>
          <w:ilvl w:val="0"/>
          <w:numId w:val="2"/>
        </w:numPr>
        <w:spacing w:after="100"/>
      </w:pPr>
      <w:r>
        <w:rPr>
          <w:sz w:val="22"/>
          <w:szCs w:val="22"/>
        </w:rPr>
        <w:t xml:space="preserve">Revise prose and poetry summaries, themes, and important quotations from each unit.</w:t>
      </w:r>
    </w:p>
    <w:p>
      <w:pPr>
        <w:pStyle w:val="ListParagraph"/>
        <w:numPr>
          <w:ilvl w:val="0"/>
          <w:numId w:val="2"/>
        </w:numPr>
        <w:spacing w:after="100"/>
      </w:pPr>
      <w:r>
        <w:rPr>
          <w:sz w:val="22"/>
          <w:szCs w:val="22"/>
        </w:rPr>
        <w:t xml:space="preserve">Practice essay, letter, and article writing formats so you don't lose time deciding structure in the exam.</w:t>
      </w:r>
    </w:p>
    <w:p>
      <w:pPr>
        <w:pStyle w:val="ListParagraph"/>
        <w:numPr>
          <w:ilvl w:val="0"/>
          <w:numId w:val="2"/>
        </w:numPr>
        <w:spacing w:after="100"/>
      </w:pPr>
      <w:r>
        <w:rPr>
          <w:sz w:val="22"/>
          <w:szCs w:val="22"/>
        </w:rPr>
        <w:t xml:space="preserve">Grammar and usage questions are scoring — revise tenses, voice, and sentence patterns thoroughly.</w:t>
      </w:r>
    </w:p>
    <w:p>
      <w:r>
        <w:br w:type="page"/>
      </w:r>
    </w:p>
    <w:p>
      <w:pPr>
        <w:pStyle w:val="Heading1"/>
        <w:pBdr>
          <w:bottom w:val="single" w:color="1B3A5C" w:sz="8" w:space="4"/>
        </w:pBdr>
        <w:spacing w:after="160" w:before="320"/>
      </w:pPr>
      <w:r>
        <w:rPr>
          <w:b/>
          <w:bCs/>
          <w:color w:val="1B3A5C"/>
        </w:rPr>
        <w:t xml:space="preserve">Overall Preparation Tips</w:t>
      </w:r>
    </w:p>
    <w:p>
      <w:pPr>
        <w:pStyle w:val="Heading2"/>
        <w:spacing w:after="100" w:before="220"/>
      </w:pPr>
      <w:r>
        <w:rPr>
          <w:b/>
          <w:bCs/>
          <w:color w:val="B8860B"/>
        </w:rPr>
        <w:t xml:space="preserve">Study Planning</w:t>
      </w:r>
    </w:p>
    <w:p>
      <w:pPr>
        <w:pStyle w:val="ListParagraph"/>
        <w:numPr>
          <w:ilvl w:val="0"/>
          <w:numId w:val="2"/>
        </w:numPr>
        <w:spacing w:after="100"/>
      </w:pPr>
      <w:r>
        <w:rPr>
          <w:sz w:val="22"/>
          <w:szCs w:val="22"/>
        </w:rPr>
        <w:t xml:space="preserve">Start with the DHSE chapter-wise weightage document to identify high-mark chapters and prioritise them.</w:t>
      </w:r>
    </w:p>
    <w:p>
      <w:pPr>
        <w:pStyle w:val="ListParagraph"/>
        <w:numPr>
          <w:ilvl w:val="0"/>
          <w:numId w:val="2"/>
        </w:numPr>
        <w:spacing w:after="100"/>
      </w:pPr>
      <w:r>
        <w:rPr>
          <w:sz w:val="22"/>
          <w:szCs w:val="22"/>
        </w:rPr>
        <w:t xml:space="preserve">Create a realistic month-by-month timetable that covers every subject, leaving the final 3–4 weeks purely for revision.</w:t>
      </w:r>
    </w:p>
    <w:p>
      <w:pPr>
        <w:pStyle w:val="ListParagraph"/>
        <w:numPr>
          <w:ilvl w:val="0"/>
          <w:numId w:val="2"/>
        </w:numPr>
        <w:spacing w:after="100"/>
      </w:pPr>
      <w:r>
        <w:rPr>
          <w:sz w:val="22"/>
          <w:szCs w:val="22"/>
        </w:rPr>
        <w:t xml:space="preserve">Complete the full syllabus at least 3–4 weeks before the exam so revision isn't rushed.</w:t>
      </w:r>
    </w:p>
    <w:p>
      <w:pPr>
        <w:pStyle w:val="Heading2"/>
        <w:spacing w:after="100" w:before="220"/>
      </w:pPr>
      <w:r>
        <w:rPr>
          <w:b/>
          <w:bCs/>
          <w:color w:val="B8860B"/>
        </w:rPr>
        <w:t xml:space="preserve">Practice &amp; Revision</w:t>
      </w:r>
    </w:p>
    <w:p>
      <w:pPr>
        <w:pStyle w:val="ListParagraph"/>
        <w:numPr>
          <w:ilvl w:val="0"/>
          <w:numId w:val="2"/>
        </w:numPr>
        <w:spacing w:after="100"/>
      </w:pPr>
      <w:r>
        <w:rPr>
          <w:sz w:val="22"/>
          <w:szCs w:val="22"/>
        </w:rPr>
        <w:t xml:space="preserve">Solve at least 5–6 years of previous question papers and official model papers for every subject, under timed conditions.</w:t>
      </w:r>
    </w:p>
    <w:p>
      <w:pPr>
        <w:pStyle w:val="ListParagraph"/>
        <w:numPr>
          <w:ilvl w:val="0"/>
          <w:numId w:val="2"/>
        </w:numPr>
        <w:spacing w:after="100"/>
      </w:pPr>
      <w:r>
        <w:rPr>
          <w:sz w:val="22"/>
          <w:szCs w:val="22"/>
        </w:rPr>
        <w:t xml:space="preserve">Make short revision notes (formulas, diagrams, key dates) for quick review in the final week.</w:t>
      </w:r>
    </w:p>
    <w:p>
      <w:pPr>
        <w:pStyle w:val="ListParagraph"/>
        <w:numPr>
          <w:ilvl w:val="0"/>
          <w:numId w:val="2"/>
        </w:numPr>
        <w:spacing w:after="100"/>
      </w:pPr>
      <w:r>
        <w:rPr>
          <w:sz w:val="22"/>
          <w:szCs w:val="22"/>
        </w:rPr>
        <w:t xml:space="preserve">Revisit mistakes from mock tests — repeated errors reveal exactly what needs more attention.</w:t>
      </w:r>
    </w:p>
    <w:p>
      <w:pPr>
        <w:pStyle w:val="ListParagraph"/>
        <w:numPr>
          <w:ilvl w:val="0"/>
          <w:numId w:val="2"/>
        </w:numPr>
        <w:spacing w:after="100"/>
      </w:pPr>
      <w:r>
        <w:rPr>
          <w:sz w:val="22"/>
          <w:szCs w:val="22"/>
        </w:rPr>
        <w:t xml:space="preserve">Study strictly from DHSE/SCERT textbooks; questions are set directly from them, so outside reference material should only supplement, not replace, this.</w:t>
      </w:r>
    </w:p>
    <w:p>
      <w:pPr>
        <w:pStyle w:val="Heading2"/>
        <w:spacing w:after="100" w:before="220"/>
      </w:pPr>
      <w:r>
        <w:rPr>
          <w:b/>
          <w:bCs/>
          <w:color w:val="B8860B"/>
        </w:rPr>
        <w:t xml:space="preserve">Exam-Day Strategy</w:t>
      </w:r>
    </w:p>
    <w:p>
      <w:pPr>
        <w:pStyle w:val="ListParagraph"/>
        <w:numPr>
          <w:ilvl w:val="0"/>
          <w:numId w:val="2"/>
        </w:numPr>
        <w:spacing w:after="100"/>
      </w:pPr>
      <w:r>
        <w:rPr>
          <w:sz w:val="22"/>
          <w:szCs w:val="22"/>
        </w:rPr>
        <w:t xml:space="preserve">Use the 15-minute cool-off time wisely — read the entire paper and mentally plan which questions to attempt first.</w:t>
      </w:r>
    </w:p>
    <w:p>
      <w:pPr>
        <w:pStyle w:val="ListParagraph"/>
        <w:numPr>
          <w:ilvl w:val="0"/>
          <w:numId w:val="2"/>
        </w:numPr>
        <w:spacing w:after="100"/>
      </w:pPr>
      <w:r>
        <w:rPr>
          <w:sz w:val="22"/>
          <w:szCs w:val="22"/>
        </w:rPr>
        <w:t xml:space="preserve">Attempt questions you're most confident about first to secure marks early.</w:t>
      </w:r>
    </w:p>
    <w:p>
      <w:pPr>
        <w:pStyle w:val="ListParagraph"/>
        <w:numPr>
          <w:ilvl w:val="0"/>
          <w:numId w:val="2"/>
        </w:numPr>
        <w:spacing w:after="100"/>
      </w:pPr>
      <w:r>
        <w:rPr>
          <w:sz w:val="22"/>
          <w:szCs w:val="22"/>
        </w:rPr>
        <w:t xml:space="preserve">Manage time per section so no part of the paper is rushed at the end; keep a few minutes aside to review answers.</w:t>
      </w:r>
    </w:p>
    <w:p>
      <w:pPr>
        <w:pStyle w:val="ListParagraph"/>
        <w:numPr>
          <w:ilvl w:val="0"/>
          <w:numId w:val="2"/>
        </w:numPr>
        <w:spacing w:after="100"/>
      </w:pPr>
      <w:r>
        <w:rPr>
          <w:sz w:val="22"/>
          <w:szCs w:val="22"/>
        </w:rPr>
        <w:t xml:space="preserve">Where internal choices are given, quickly scan both options before committing to one.</w:t>
      </w:r>
    </w:p>
    <w:p>
      <w:pPr>
        <w:pStyle w:val="Heading2"/>
        <w:spacing w:after="100" w:before="220"/>
      </w:pPr>
      <w:r>
        <w:rPr>
          <w:b/>
          <w:bCs/>
          <w:color w:val="B8860B"/>
        </w:rPr>
        <w:t xml:space="preserve">Health &amp; Mindset</w:t>
      </w:r>
    </w:p>
    <w:p>
      <w:pPr>
        <w:pStyle w:val="ListParagraph"/>
        <w:numPr>
          <w:ilvl w:val="0"/>
          <w:numId w:val="2"/>
        </w:numPr>
        <w:spacing w:after="100"/>
      </w:pPr>
      <w:r>
        <w:rPr>
          <w:sz w:val="22"/>
          <w:szCs w:val="22"/>
        </w:rPr>
        <w:t xml:space="preserve">Maintain a consistent sleep schedule, especially in the final month — avoid all-night cramming before the exam.</w:t>
      </w:r>
    </w:p>
    <w:p>
      <w:pPr>
        <w:pStyle w:val="ListParagraph"/>
        <w:numPr>
          <w:ilvl w:val="0"/>
          <w:numId w:val="2"/>
        </w:numPr>
        <w:spacing w:after="100"/>
      </w:pPr>
      <w:r>
        <w:rPr>
          <w:sz w:val="22"/>
          <w:szCs w:val="22"/>
        </w:rPr>
        <w:t xml:space="preserve">Take short breaks between long study sessions to stay focused rather than studying for hours without a pause.</w:t>
      </w:r>
    </w:p>
    <w:p>
      <w:pPr>
        <w:pStyle w:val="ListParagraph"/>
        <w:numPr>
          <w:ilvl w:val="0"/>
          <w:numId w:val="2"/>
        </w:numPr>
        <w:spacing w:after="100"/>
      </w:pPr>
      <w:r>
        <w:rPr>
          <w:sz w:val="22"/>
          <w:szCs w:val="22"/>
        </w:rPr>
        <w:t xml:space="preserve">Stay calm and avoid comparing your preparation with others; focus on your own study plan.</w:t>
      </w:r>
    </w:p>
    <w:p>
      <w:pPr>
        <w:pStyle w:val="ListParagraph"/>
        <w:numPr>
          <w:ilvl w:val="0"/>
          <w:numId w:val="2"/>
        </w:numPr>
        <w:spacing w:after="100"/>
      </w:pPr>
      <w:r>
        <w:rPr>
          <w:sz w:val="22"/>
          <w:szCs w:val="22"/>
        </w:rPr>
        <w:t xml:space="preserve">Eat light, familiar food before exams and keep your admit card and stationery ready the night before.</w:t>
      </w:r>
    </w:p>
    <w:p>
      <w:r>
        <w:br w:type="page"/>
      </w:r>
    </w:p>
    <w:p>
      <w:pPr>
        <w:pStyle w:val="Heading1"/>
        <w:pBdr>
          <w:bottom w:val="single" w:color="1B3A5C" w:sz="8" w:space="4"/>
        </w:pBdr>
        <w:spacing w:after="160" w:before="320"/>
      </w:pPr>
      <w:r>
        <w:rPr>
          <w:b/>
          <w:bCs/>
          <w:color w:val="1B3A5C"/>
        </w:rPr>
        <w:t xml:space="preserve">Conclusion</w:t>
      </w:r>
    </w:p>
    <w:p>
      <w:pPr>
        <w:spacing w:after="160"/>
      </w:pPr>
      <w:r>
        <w:rPr>
          <w:sz w:val="22"/>
          <w:szCs w:val="22"/>
        </w:rPr>
        <w:t xml:space="preserve">Success in the Kerala Plus Two exam comes down to disciplined, syllabus-focused preparation rather than last-minute effort. Understanding the exam pattern, respecting the weightage of each chapter, practising previous papers, and taking care of your health and mindset together make the biggest difference.</w:t>
      </w:r>
    </w:p>
    <w:p>
      <w:pPr>
        <w:spacing w:after="160"/>
      </w:pPr>
      <w:r>
        <w:rPr>
          <w:sz w:val="22"/>
          <w:szCs w:val="22"/>
        </w:rPr>
        <w:t xml:space="preserve">Follow the DHSE textbooks closely, revise consistently, and approach the exam with a clear plan rather than anxiety. With steady preparation over the months leading up to the exam, you'll be well placed to perform at your best. All the very best for your Plus Two examination!</w:t>
      </w:r>
    </w:p>
    <w:p>
      <w:pPr>
        <w:spacing w:before="400"/>
        <w:jc w:val="center"/>
      </w:pPr>
      <w:r>
        <w:rPr>
          <w:i/>
          <w:iCs/>
          <w:color w:val="B8860B"/>
          <w:sz w:val="22"/>
          <w:szCs w:val="22"/>
        </w:rPr>
        <w:t xml:space="preserve">— Wishing you success in your Plus Two exams —</w:t>
      </w:r>
    </w:p>
    <w:sectPr>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2026-07-12T06:59:57.197Z</dcterms:created>
  <dcterms:modified xsi:type="dcterms:W3CDTF">2026-07-12T06:59:57.213Z</dcterms:modified>
</cp:coreProperties>
</file>

<file path=docProps/custom.xml><?xml version="1.0" encoding="utf-8"?>
<Properties xmlns="http://schemas.openxmlformats.org/officeDocument/2006/custom-properties" xmlns:vt="http://schemas.openxmlformats.org/officeDocument/2006/docPropsVTypes"/>
</file>